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/colors1.xml" ContentType="application/vnd.ms-office.chartcolorstyle+xml"/>
  <Override PartName="/word/charts/chart/colors2.xml" ContentType="application/vnd.ms-office.chartcolorstyle+xml"/>
  <Override PartName="/word/charts/chart/style1.xml" ContentType="application/vnd.ms-office.chartstyle+xml"/>
  <Override PartName="/word/charts/chart/style2.xml" ContentType="application/vnd.ms-office.chartsty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embeddings/Microsoft_Excel_Worksheet1.xlsx" ContentType="application/vnd.openxmlformats-officedocument.spreadsheetml.sheet"/>
  <Override PartName="/word/embeddings/Microsoft_Excel_Worksheet2.xlsx" ContentType="application/vnd.openxmlformats-officedocument.spreadsheetml.shee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6212FB" w:rsidRPr="00F55419" w:rsidP="00F5541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5417820</wp:posOffset>
                </wp:positionV>
                <wp:extent cx="11630025" cy="44386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30025" cy="4438650"/>
                        </a:xfrm>
                        <a:prstGeom prst="roundRect">
                          <a:avLst>
                            <a:gd name="adj" fmla="val 904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97570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042D80">
                              <w:rPr>
                                <w:b/>
                                <w:color w:val="5B9BD5" w:themeColor="accent1"/>
                              </w:rPr>
                              <w:t xml:space="preserve">Fig </w:t>
                            </w:r>
                            <w:r w:rsidR="00B207BB">
                              <w:rPr>
                                <w:b/>
                                <w:color w:val="5B9BD5" w:themeColor="accent1"/>
                              </w:rPr>
                              <w:t>3 -</w:t>
                            </w:r>
                            <w:r w:rsidRPr="00042D80">
                              <w:rPr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032630">
                              <w:rPr>
                                <w:b/>
                                <w:color w:val="5B9BD5" w:themeColor="accent1"/>
                              </w:rPr>
                              <w:t>Summary of e</w:t>
                            </w:r>
                            <w:r w:rsidR="00A71359">
                              <w:rPr>
                                <w:b/>
                                <w:color w:val="5B9BD5" w:themeColor="accent1"/>
                              </w:rPr>
                              <w:t xml:space="preserve">mployment site </w:t>
                            </w:r>
                            <w:r w:rsidR="00032630">
                              <w:rPr>
                                <w:b/>
                                <w:color w:val="5B9BD5" w:themeColor="accent1"/>
                              </w:rPr>
                              <w:t>ident</w:t>
                            </w:r>
                            <w:r w:rsidR="00625B1D">
                              <w:rPr>
                                <w:b/>
                                <w:color w:val="5B9BD5" w:themeColor="accent1"/>
                              </w:rPr>
                              <w:t>ified as amber or red (</w:t>
                            </w:r>
                            <w:r w:rsidRPr="00042D80">
                              <w:rPr>
                                <w:b/>
                                <w:color w:val="5B9BD5" w:themeColor="accent1"/>
                              </w:rPr>
                              <w:t>issues and responses</w:t>
                            </w:r>
                            <w:r w:rsidR="00625B1D">
                              <w:rPr>
                                <w:b/>
                                <w:color w:val="5B9BD5" w:themeColor="accent1"/>
                              </w:rPr>
                              <w:t>)</w:t>
                            </w:r>
                          </w:p>
                          <w:p w:rsidR="005137F7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7856" w:type="dxa"/>
                              <w:tblLook w:val="04A0"/>
                            </w:tblPr>
                            <w:tblGrid>
                              <w:gridCol w:w="421"/>
                              <w:gridCol w:w="17435"/>
                            </w:tblGrid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</w:tcPr>
                                <w:p w:rsidR="00EA651F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AD20F5" w:rsidRPr="00A837AC" w:rsidP="00625B1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Site details and i</w:t>
                                  </w:r>
                                  <w:r w:rsidRPr="004A458F" w:rsidR="00EA651F">
                                    <w:rPr>
                                      <w:b/>
                                    </w:rPr>
                                    <w:t>ssue</w:t>
                                  </w:r>
                                  <w:r w:rsidR="00EA651F">
                                    <w:rPr>
                                      <w:b/>
                                    </w:rPr>
                                    <w:t>s identified that could affect delivery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E7E6E6" w:themeFill="background2"/>
                                </w:tcPr>
                                <w:p w:rsidR="00625B1D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  <w:shd w:val="clear" w:color="auto" w:fill="E7E6E6" w:themeFill="background2"/>
                                </w:tcPr>
                                <w:p w:rsidR="00625B1D" w:rsidP="00A7135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Preston 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FFC000" w:themeFill="accent4"/>
                                </w:tcPr>
                                <w:p w:rsidR="00EA651F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EA651F" w:rsidRPr="005137F7" w:rsidP="0070596B">
                                  <w:pPr>
                                    <w:rPr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Eastway (warehouse) -</w:t>
                                  </w:r>
                                  <w:r w:rsidRPr="005137F7">
                                    <w:rPr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137F7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Housebuilder focus has been on other sites. Occupier interest and reserved matters represents good recent progress. </w:t>
                                  </w:r>
                                  <w:r w:rsidRPr="005137F7" w:rsidR="0067361F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Homes England progressing matters. 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FFC000" w:themeFill="accent4"/>
                                </w:tcPr>
                                <w:p w:rsidR="00EA651F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EA651F" w:rsidRPr="005137F7" w:rsidP="00032630">
                                  <w:pPr>
                                    <w:rPr>
                                      <w:rStyle w:val="Style3"/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rStyle w:val="Style3"/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  <w:t xml:space="preserve">Eastway (health care centre) - </w:t>
                                  </w:r>
                                  <w:r w:rsidRPr="005137F7"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Housebuilder focus has been on other sites. Occupier interest and reserved matters represents good recent progress. </w:t>
                                  </w:r>
                                  <w:r w:rsidRPr="005137F7" w:rsidR="0067361F">
                                    <w:rPr>
                                      <w:rStyle w:val="Style3"/>
                                      <w:rFonts w:asciiTheme="minorHAnsi" w:hAnsiTheme="minorHAnsi"/>
                                      <w:szCs w:val="20"/>
                                    </w:rPr>
                                    <w:t xml:space="preserve">Homes England progressing matters. 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FFC000" w:themeFill="accent4"/>
                                </w:tcPr>
                                <w:p w:rsidR="00EA651F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EA651F" w:rsidRPr="005137F7" w:rsidP="004C42D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Cottam Hall (</w:t>
                                  </w:r>
                                  <w:r w:rsidRPr="005137F7" w:rsidR="004C42D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etail</w:t>
                                  </w:r>
                                  <w:r w:rsidR="003730B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units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) -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>Retail/Commercial element not likely to come forward due to viability issues.  May come forward for community use.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>Site progress being monitored via DSDG.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FFC000" w:themeFill="accent4"/>
                                </w:tcPr>
                                <w:p w:rsidR="00EA651F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EA651F" w:rsidRPr="005137F7" w:rsidP="002A69C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Bluebell Way –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 xml:space="preserve">Disposal process re-started due to strong developer interest. Timeframes agreed and longstop </w:t>
                                  </w:r>
                                  <w:r w:rsidRPr="005137F7" w:rsidR="002A69CA">
                                    <w:rPr>
                                      <w:sz w:val="20"/>
                                      <w:szCs w:val="20"/>
                                    </w:rPr>
                                    <w:t xml:space="preserve">date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>in place for disposal. Other sites in Preston East being buil</w:t>
                                  </w:r>
                                  <w:r w:rsidRPr="005137F7" w:rsidR="002A69CA">
                                    <w:rPr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 xml:space="preserve"> out in the meantime.  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FFC000" w:themeFill="accent4"/>
                                </w:tcPr>
                                <w:p w:rsidR="00EA651F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EA651F" w:rsidRPr="005137F7" w:rsidP="005137F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Preston East </w:t>
                                  </w:r>
                                  <w:r w:rsidRPr="005137F7" w:rsid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(e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xpansion </w:t>
                                  </w:r>
                                  <w:r w:rsidRPr="005137F7" w:rsid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5137F7" w:rsid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–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>Homes England resource issues led to a delay in progressing the sales and marketing plan.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>New milestones agreed</w:t>
                                  </w:r>
                                  <w:r w:rsidRPr="005137F7" w:rsidR="002A69CA">
                                    <w:rPr>
                                      <w:sz w:val="20"/>
                                      <w:szCs w:val="20"/>
                                    </w:rPr>
                                    <w:t xml:space="preserve">. No delays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 xml:space="preserve">expected </w:t>
                                  </w:r>
                                  <w:r w:rsidRPr="005137F7" w:rsidR="002A69CA">
                                    <w:rPr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>site coming forward.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FFC000" w:themeFill="accent4"/>
                                </w:tcPr>
                                <w:p w:rsidR="00EA651F" w:rsidP="00EA651F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EA651F" w:rsidRPr="005137F7" w:rsidP="00D223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Preston CBD </w:t>
                                  </w:r>
                                  <w:r w:rsidRPr="005137F7" w:rsidR="000B43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5137F7" w:rsidR="004C42D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137F7" w:rsidR="000B43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ffice) </w:t>
                                  </w:r>
                                  <w:r w:rsidRPr="005137F7" w:rsidR="000B4309">
                                    <w:rPr>
                                      <w:sz w:val="20"/>
                                      <w:szCs w:val="20"/>
                                    </w:rPr>
                                    <w:t>– Cost/value challenges remain</w:t>
                                  </w:r>
                                  <w:r w:rsidRPr="005137F7" w:rsidR="002A69CA">
                                    <w:rPr>
                                      <w:sz w:val="20"/>
                                      <w:szCs w:val="20"/>
                                    </w:rPr>
                                    <w:t xml:space="preserve"> in office market</w:t>
                                  </w:r>
                                  <w:r w:rsidRPr="005137F7" w:rsidR="000B4309">
                                    <w:rPr>
                                      <w:sz w:val="20"/>
                                      <w:szCs w:val="20"/>
                                    </w:rPr>
                                    <w:t>. Potential anchor tenant</w:t>
                                  </w:r>
                                  <w:r w:rsidRPr="005137F7" w:rsidR="00D223BF">
                                    <w:rPr>
                                      <w:sz w:val="20"/>
                                      <w:szCs w:val="20"/>
                                    </w:rPr>
                                    <w:t xml:space="preserve"> engagement ongoing. S</w:t>
                                  </w:r>
                                  <w:r w:rsidRPr="005137F7" w:rsidR="002A69CA">
                                    <w:rPr>
                                      <w:sz w:val="20"/>
                                      <w:szCs w:val="20"/>
                                    </w:rPr>
                                    <w:t xml:space="preserve">ite is a key element in City Deal marketing activity to raise </w:t>
                                  </w:r>
                                  <w:r w:rsidRPr="005137F7" w:rsidR="00D223BF">
                                    <w:rPr>
                                      <w:sz w:val="20"/>
                                      <w:szCs w:val="20"/>
                                    </w:rPr>
                                    <w:t xml:space="preserve">occupier </w:t>
                                  </w:r>
                                  <w:r w:rsidRPr="005137F7" w:rsidR="002A69CA">
                                    <w:rPr>
                                      <w:sz w:val="20"/>
                                      <w:szCs w:val="20"/>
                                    </w:rPr>
                                    <w:t xml:space="preserve">interest. 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FFC000"/>
                                </w:tcPr>
                                <w:p w:rsidR="00EA651F" w:rsidP="00EA651F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EA651F" w:rsidRPr="005137F7" w:rsidP="005137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Preston Cinema scheme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Pr="005137F7" w:rsidR="00D223BF">
                                    <w:rPr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>evised timescales reflect a completed site</w:t>
                                  </w:r>
                                  <w:r w:rsidR="005137F7">
                                    <w:rPr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>2020/21.</w:t>
                                  </w:r>
                                  <w:r w:rsidRPr="005137F7" w:rsidR="00D223B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37F7">
                                    <w:rPr>
                                      <w:sz w:val="20"/>
                                      <w:szCs w:val="20"/>
                                    </w:rPr>
                                    <w:t xml:space="preserve">Project development activity continues. </w:t>
                                  </w:r>
                                  <w:r w:rsidRPr="005137F7" w:rsidR="005137F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137F7" w:rsidR="00D223BF">
                                    <w:rPr>
                                      <w:sz w:val="20"/>
                                      <w:szCs w:val="20"/>
                                    </w:rPr>
                                    <w:t>Site is a key element in City Deal marketing a</w:t>
                                  </w:r>
                                  <w:r w:rsidRPr="005137F7" w:rsidR="005137F7">
                                    <w:rPr>
                                      <w:sz w:val="20"/>
                                      <w:szCs w:val="20"/>
                                    </w:rPr>
                                    <w:t>ctivity.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D62C90" w:rsidP="00D62C90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D62C90" w:rsidRPr="005137F7" w:rsidP="003730B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Cottam Hall (</w:t>
                                  </w:r>
                                  <w:r w:rsidRPr="005137F7" w:rsidR="00A837A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upermarket)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>– Retail/Commercial element not likely to come forward due to viability issues. Site progress being monitored by DSDG</w:t>
                                  </w:r>
                                  <w:r w:rsidRPr="005137F7" w:rsidR="00D223BF">
                                    <w:rPr>
                                      <w:sz w:val="20"/>
                                      <w:szCs w:val="20"/>
                                    </w:rPr>
                                    <w:t xml:space="preserve"> in respect of housing element.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3730B7" w:rsidP="00D62C90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3730B7" w:rsidRPr="005137F7" w:rsidP="003730B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Cottam Hall (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retail units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 xml:space="preserve">– Retail/Commercial element not likely to come forward due to viability issues. Site progress being monitored by DSDG in respect of housing element.  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D62C90" w:rsidP="00D62C90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D62C90" w:rsidRPr="005137F7" w:rsidP="00D223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Whittingham Hospital </w:t>
                                  </w:r>
                                  <w:r w:rsid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(retail</w:t>
                                  </w:r>
                                  <w:r w:rsidR="003730B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units</w:t>
                                  </w:r>
                                  <w:r w:rsid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>- Retail/Commercial element not likely to come forward due to viability issues. Site progress being monitored by DSDG</w:t>
                                  </w:r>
                                  <w:r w:rsidRPr="005137F7" w:rsidR="00D223BF">
                                    <w:rPr>
                                      <w:sz w:val="20"/>
                                      <w:szCs w:val="20"/>
                                    </w:rPr>
                                    <w:t xml:space="preserve"> in respect of housing element.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D62C90" w:rsidP="00D62C90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D62C90" w:rsidRPr="005137F7" w:rsidP="00D223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Winckley Square (College House)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 xml:space="preserve">– Lack of landlord interest in developing the site despite attempts to engage. The property remains an underutilised asset in a regenerated Winckley Square.   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E7E6E6" w:themeFill="background2"/>
                                </w:tcPr>
                                <w:p w:rsidR="000B4309" w:rsidP="000B4309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  <w:shd w:val="clear" w:color="auto" w:fill="E7E6E6" w:themeFill="background2"/>
                                </w:tcPr>
                                <w:p w:rsidR="000B4309" w:rsidRPr="005137F7" w:rsidP="000B430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South Ribble 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FFC000"/>
                                </w:tcPr>
                                <w:p w:rsidR="00A23E43" w:rsidP="00EA651F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A23E43" w:rsidRPr="005137F7" w:rsidP="005137F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Cop Lane (</w:t>
                                  </w:r>
                                  <w:r w:rsidRPr="005137F7" w:rsid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upermarket)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>– Challenging retail climate led Tesco to pull out of the scheme. Disposal process underway (to be concluded over the summer)</w:t>
                                  </w:r>
                                  <w:r w:rsidRPr="005137F7" w:rsidR="00D223BF">
                                    <w:rPr>
                                      <w:sz w:val="20"/>
                                      <w:szCs w:val="20"/>
                                    </w:rPr>
                                    <w:t xml:space="preserve">. Early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 xml:space="preserve">indications of strong market interest. 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FFC000"/>
                                </w:tcPr>
                                <w:p w:rsidR="00A23E43" w:rsidP="00EA651F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A23E43" w:rsidRPr="005137F7" w:rsidP="005137F7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Pickerings Farm</w:t>
                                  </w:r>
                                  <w:r w:rsidRPr="005137F7" w:rsid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137F7" w:rsidR="002172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5137F7" w:rsid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137F7" w:rsidR="002172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ocal centre)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137F7" w:rsidR="002172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137F7" w:rsidR="002172F7">
                                    <w:rPr>
                                      <w:sz w:val="20"/>
                                      <w:szCs w:val="20"/>
                                    </w:rPr>
                                    <w:t>Planning submission expected Q3 2018/19. Site progress monitored by DSDG/Pickerings Farm Steering Group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FFC000"/>
                                </w:tcPr>
                                <w:p w:rsidR="00A23E43" w:rsidP="00EA651F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A23E43" w:rsidRPr="005137F7" w:rsidP="000B430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Cuerden – 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>IKEA withdrawing from site has affected progress.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137F7" w:rsidR="008D278C">
                                    <w:rPr>
                                      <w:sz w:val="20"/>
                                      <w:szCs w:val="20"/>
                                    </w:rPr>
                                    <w:t xml:space="preserve">Future development options being explored. 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17856" w:type="dxa"/>
                                <w:tblLook w:val="04A0"/>
                              </w:tblPrEx>
                              <w:tc>
                                <w:tcPr>
                                  <w:tcW w:w="421" w:type="dxa"/>
                                  <w:shd w:val="clear" w:color="auto" w:fill="FFC000"/>
                                </w:tcPr>
                                <w:p w:rsidR="003038BE" w:rsidP="00EA651F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5" w:type="dxa"/>
                                </w:tcPr>
                                <w:p w:rsidR="003038BE" w:rsidRPr="005137F7" w:rsidP="005137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South Rings </w:t>
                                  </w:r>
                                  <w:r w:rsid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retail</w:t>
                                  </w:r>
                                  <w:r w:rsid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warehouse</w:t>
                                  </w:r>
                                  <w:r w:rsidR="0070596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5137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– </w:t>
                                  </w:r>
                                  <w:r w:rsidRPr="005137F7" w:rsidR="00B26F5A">
                                    <w:rPr>
                                      <w:sz w:val="20"/>
                                      <w:szCs w:val="20"/>
                                    </w:rPr>
                                    <w:t>Whilst planning permission has been secured the c</w:t>
                                  </w:r>
                                  <w:r w:rsidRPr="005137F7">
                                    <w:rPr>
                                      <w:sz w:val="20"/>
                                      <w:szCs w:val="20"/>
                                    </w:rPr>
                                    <w:t>hallenging retail climate has resu</w:t>
                                  </w:r>
                                  <w:r w:rsidRPr="005137F7" w:rsidR="00D62C90">
                                    <w:rPr>
                                      <w:sz w:val="20"/>
                                      <w:szCs w:val="20"/>
                                    </w:rPr>
                                    <w:t>lted in no further developments.</w:t>
                                  </w:r>
                                  <w:r w:rsidRPr="005137F7" w:rsidR="002172F7">
                                    <w:rPr>
                                      <w:sz w:val="20"/>
                                      <w:szCs w:val="20"/>
                                    </w:rPr>
                                    <w:t xml:space="preserve"> The site is not expected to come forward in the short-term. </w:t>
                                  </w:r>
                                </w:p>
                              </w:tc>
                            </w:tr>
                          </w:tbl>
                          <w:p w:rsidR="00A23E43" w:rsidRPr="00D62C90" w:rsidP="0015179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5B1D" w:rsidRPr="00D62C90" w:rsidP="0015179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Development S</w:t>
                            </w:r>
                            <w:r w:rsidRPr="00D62C90" w:rsidR="00F975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ites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62C90" w:rsidR="00F975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elivery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D62C90" w:rsidR="00F975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roup </w:t>
                            </w:r>
                            <w:r w:rsidRPr="00D62C90" w:rsidR="00381C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(DSDG) </w:t>
                            </w:r>
                            <w:r w:rsidRPr="00D62C90" w:rsidR="00F975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continue to </w:t>
                            </w:r>
                            <w:r w:rsidRPr="00D62C90" w:rsidR="00381C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monitor risks that are significant to </w:t>
                            </w:r>
                            <w:r w:rsidRPr="00D62C90" w:rsidR="00461320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D62C90" w:rsidR="00381C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ity Deal </w:t>
                            </w:r>
                            <w:r w:rsidRPr="00D62C90" w:rsidR="00F975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D62C90" w:rsidR="00381C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work with partners and developers to </w:t>
                            </w:r>
                            <w:r w:rsidRPr="00D62C90" w:rsidR="00F975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formulate </w:t>
                            </w:r>
                            <w:r w:rsidRPr="00D62C90" w:rsidR="00381C7D">
                              <w:rPr>
                                <w:b/>
                                <w:sz w:val="24"/>
                                <w:szCs w:val="24"/>
                              </w:rPr>
                              <w:t>appropriate responses.</w:t>
                            </w:r>
                            <w:r w:rsidRPr="00D62C90" w:rsidR="00F975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5" style="width:915.75pt;height:349.5pt;margin-top:426.6pt;margin-left:71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arcsize="592f" fillcolor="window" strokecolor="#5b9bd5" strokeweight="1pt">
                <v:stroke joinstyle="miter"/>
                <v:textbox>
                  <w:txbxContent>
                    <w:p w:rsidR="00F97570" w:rsidP="00151796">
                      <w:pPr>
                        <w:rPr>
                          <w:b/>
                          <w:color w:val="5B9BD5" w:themeColor="accent1"/>
                        </w:rPr>
                      </w:pPr>
                      <w:r w:rsidRPr="00042D80">
                        <w:rPr>
                          <w:b/>
                          <w:color w:val="5B9BD5" w:themeColor="accent1"/>
                        </w:rPr>
                        <w:t xml:space="preserve">Fig </w:t>
                      </w:r>
                      <w:r w:rsidR="00B207BB">
                        <w:rPr>
                          <w:b/>
                          <w:color w:val="5B9BD5" w:themeColor="accent1"/>
                        </w:rPr>
                        <w:t>3 -</w:t>
                      </w:r>
                      <w:r w:rsidRPr="00042D80">
                        <w:rPr>
                          <w:b/>
                          <w:color w:val="5B9BD5" w:themeColor="accent1"/>
                        </w:rPr>
                        <w:t xml:space="preserve"> </w:t>
                      </w:r>
                      <w:r w:rsidR="00032630">
                        <w:rPr>
                          <w:b/>
                          <w:color w:val="5B9BD5" w:themeColor="accent1"/>
                        </w:rPr>
                        <w:t>Summary of e</w:t>
                      </w:r>
                      <w:r w:rsidR="00A71359">
                        <w:rPr>
                          <w:b/>
                          <w:color w:val="5B9BD5" w:themeColor="accent1"/>
                        </w:rPr>
                        <w:t xml:space="preserve">mployment site </w:t>
                      </w:r>
                      <w:r w:rsidR="00032630">
                        <w:rPr>
                          <w:b/>
                          <w:color w:val="5B9BD5" w:themeColor="accent1"/>
                        </w:rPr>
                        <w:t>ident</w:t>
                      </w:r>
                      <w:r w:rsidR="00625B1D">
                        <w:rPr>
                          <w:b/>
                          <w:color w:val="5B9BD5" w:themeColor="accent1"/>
                        </w:rPr>
                        <w:t>ified as amber or red (</w:t>
                      </w:r>
                      <w:r w:rsidRPr="00042D80">
                        <w:rPr>
                          <w:b/>
                          <w:color w:val="5B9BD5" w:themeColor="accent1"/>
                        </w:rPr>
                        <w:t>issues and responses</w:t>
                      </w:r>
                      <w:r w:rsidR="00625B1D">
                        <w:rPr>
                          <w:b/>
                          <w:color w:val="5B9BD5" w:themeColor="accent1"/>
                        </w:rPr>
                        <w:t>)</w:t>
                      </w:r>
                    </w:p>
                    <w:p w:rsidR="005137F7" w:rsidP="00151796">
                      <w:pPr>
                        <w:rPr>
                          <w:b/>
                          <w:color w:val="5B9BD5" w:themeColor="accent1"/>
                        </w:rPr>
                      </w:pPr>
                    </w:p>
                    <w:tbl>
                      <w:tblPr>
                        <w:tblStyle w:val="TableGrid"/>
                        <w:tblW w:w="17856" w:type="dxa"/>
                        <w:tblLook w:val="04A0"/>
                      </w:tblPr>
                      <w:tblGrid>
                        <w:gridCol w:w="421"/>
                        <w:gridCol w:w="17435"/>
                      </w:tblGrid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</w:tcPr>
                          <w:p w:rsidR="00EA651F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AD20F5" w:rsidRPr="00A837AC" w:rsidP="00625B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Site details and i</w:t>
                            </w:r>
                            <w:r w:rsidRPr="004A458F" w:rsidR="00EA651F">
                              <w:rPr>
                                <w:b/>
                              </w:rPr>
                              <w:t>ssue</w:t>
                            </w:r>
                            <w:r w:rsidR="00EA651F">
                              <w:rPr>
                                <w:b/>
                              </w:rPr>
                              <w:t>s identified that could affect delivery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E7E6E6" w:themeFill="background2"/>
                          </w:tcPr>
                          <w:p w:rsidR="00625B1D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  <w:shd w:val="clear" w:color="auto" w:fill="E7E6E6" w:themeFill="background2"/>
                          </w:tcPr>
                          <w:p w:rsidR="00625B1D" w:rsidP="00A713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Preston 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FFC000" w:themeFill="accent4"/>
                          </w:tcPr>
                          <w:p w:rsidR="00EA651F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EA651F" w:rsidRPr="005137F7" w:rsidP="0070596B">
                            <w:pPr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>Eastway (warehouse) -</w:t>
                            </w:r>
                            <w:r w:rsidRPr="005137F7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37F7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Housebuilder focus has been on other sites. Occupier interest and reserved matters represents good recent progress. </w:t>
                            </w:r>
                            <w:r w:rsidRPr="005137F7" w:rsidR="0067361F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Homes England progressing matters. 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FFC000" w:themeFill="accent4"/>
                          </w:tcPr>
                          <w:p w:rsidR="00EA651F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EA651F" w:rsidRPr="005137F7" w:rsidP="00032630">
                            <w:pPr>
                              <w:rPr>
                                <w:rStyle w:val="Style3"/>
                                <w:rFonts w:asciiTheme="minorHAnsi" w:hAnsiTheme="minorHAnsi"/>
                                <w:b/>
                                <w:szCs w:val="20"/>
                              </w:rPr>
                            </w:pPr>
                            <w:r w:rsidRPr="005137F7">
                              <w:rPr>
                                <w:rStyle w:val="Style3"/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Eastway (health care centre) - </w:t>
                            </w:r>
                            <w:r w:rsidRPr="005137F7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Housebuilder focus has been on other sites. Occupier interest and reserved matters represents good recent progress. </w:t>
                            </w:r>
                            <w:r w:rsidRPr="005137F7" w:rsidR="0067361F">
                              <w:rPr>
                                <w:rStyle w:val="Style3"/>
                                <w:rFonts w:asciiTheme="minorHAnsi" w:hAnsiTheme="minorHAnsi"/>
                                <w:szCs w:val="20"/>
                              </w:rPr>
                              <w:t xml:space="preserve">Homes England progressing matters. 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FFC000" w:themeFill="accent4"/>
                          </w:tcPr>
                          <w:p w:rsidR="00EA651F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EA651F" w:rsidRPr="005137F7" w:rsidP="004C42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>Cottam Hall (</w:t>
                            </w:r>
                            <w:r w:rsidRPr="005137F7" w:rsidR="004C42D8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>etail</w:t>
                            </w:r>
                            <w:r w:rsidR="003730B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units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-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>Retail/Commercial element not likely to come forward due to viability issues.  May come forward for community use.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>Site progress being monitored via DSDG.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FFC000" w:themeFill="accent4"/>
                          </w:tcPr>
                          <w:p w:rsidR="00EA651F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EA651F" w:rsidRPr="005137F7" w:rsidP="002A6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Bluebell Way –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 xml:space="preserve">Disposal process re-started due to strong developer interest. Timeframes agreed and longstop </w:t>
                            </w:r>
                            <w:r w:rsidRPr="005137F7" w:rsidR="002A69CA"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>in place for disposal. Other sites in Preston East being buil</w:t>
                            </w:r>
                            <w:r w:rsidRPr="005137F7" w:rsidR="002A69CA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 xml:space="preserve"> out in the meantime.  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FFC000" w:themeFill="accent4"/>
                          </w:tcPr>
                          <w:p w:rsidR="00EA651F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EA651F" w:rsidRPr="005137F7" w:rsidP="005137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Preston East </w:t>
                            </w:r>
                            <w:r w:rsidRPr="005137F7" w:rsidR="005137F7">
                              <w:rPr>
                                <w:b/>
                                <w:sz w:val="20"/>
                                <w:szCs w:val="20"/>
                              </w:rPr>
                              <w:t>(e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xpansion </w:t>
                            </w:r>
                            <w:r w:rsidRPr="005137F7" w:rsidR="005137F7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Pr="005137F7" w:rsid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>Homes England resource issues led to a delay in progressing the sales and marketing plan.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>New milestones agreed</w:t>
                            </w:r>
                            <w:r w:rsidRPr="005137F7" w:rsidR="002A69CA">
                              <w:rPr>
                                <w:sz w:val="20"/>
                                <w:szCs w:val="20"/>
                              </w:rPr>
                              <w:t xml:space="preserve">. No delays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 xml:space="preserve">expected </w:t>
                            </w:r>
                            <w:r w:rsidRPr="005137F7" w:rsidR="002A69CA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>site coming forward.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FFC000" w:themeFill="accent4"/>
                          </w:tcPr>
                          <w:p w:rsidR="00EA651F" w:rsidP="00EA651F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EA651F" w:rsidRPr="005137F7" w:rsidP="00D22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Preston CBD </w:t>
                            </w:r>
                            <w:r w:rsidRPr="005137F7" w:rsidR="000B4309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5137F7" w:rsidR="004C42D8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5137F7" w:rsidR="000B43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ffice) </w:t>
                            </w:r>
                            <w:r w:rsidRPr="005137F7" w:rsidR="000B4309">
                              <w:rPr>
                                <w:sz w:val="20"/>
                                <w:szCs w:val="20"/>
                              </w:rPr>
                              <w:t>– Cost/value challenges remain</w:t>
                            </w:r>
                            <w:r w:rsidRPr="005137F7" w:rsidR="002A69CA">
                              <w:rPr>
                                <w:sz w:val="20"/>
                                <w:szCs w:val="20"/>
                              </w:rPr>
                              <w:t xml:space="preserve"> in office market</w:t>
                            </w:r>
                            <w:r w:rsidRPr="005137F7" w:rsidR="000B4309">
                              <w:rPr>
                                <w:sz w:val="20"/>
                                <w:szCs w:val="20"/>
                              </w:rPr>
                              <w:t>. Potential anchor tenant</w:t>
                            </w:r>
                            <w:r w:rsidRPr="005137F7" w:rsidR="00D223BF">
                              <w:rPr>
                                <w:sz w:val="20"/>
                                <w:szCs w:val="20"/>
                              </w:rPr>
                              <w:t xml:space="preserve"> engagement ongoing. S</w:t>
                            </w:r>
                            <w:r w:rsidRPr="005137F7" w:rsidR="002A69CA">
                              <w:rPr>
                                <w:sz w:val="20"/>
                                <w:szCs w:val="20"/>
                              </w:rPr>
                              <w:t xml:space="preserve">ite is a key element in City Deal marketing activity to raise </w:t>
                            </w:r>
                            <w:r w:rsidRPr="005137F7" w:rsidR="00D223BF">
                              <w:rPr>
                                <w:sz w:val="20"/>
                                <w:szCs w:val="20"/>
                              </w:rPr>
                              <w:t xml:space="preserve">occupier </w:t>
                            </w:r>
                            <w:r w:rsidRPr="005137F7" w:rsidR="002A69CA">
                              <w:rPr>
                                <w:sz w:val="20"/>
                                <w:szCs w:val="20"/>
                              </w:rPr>
                              <w:t xml:space="preserve">interest. 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FFC000"/>
                          </w:tcPr>
                          <w:p w:rsidR="00EA651F" w:rsidP="00EA651F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EA651F" w:rsidRPr="005137F7" w:rsidP="005137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>Preston Cinema scheme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5137F7" w:rsidR="00D223BF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>evised timescales reflect a completed site</w:t>
                            </w:r>
                            <w:r w:rsidR="005137F7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>2020/21.</w:t>
                            </w:r>
                            <w:r w:rsidRPr="005137F7" w:rsidR="00D223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37F7">
                              <w:rPr>
                                <w:sz w:val="20"/>
                                <w:szCs w:val="20"/>
                              </w:rPr>
                              <w:t xml:space="preserve">Project development activity continues. </w:t>
                            </w:r>
                            <w:r w:rsidRPr="005137F7" w:rsidR="005137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37F7" w:rsidR="00D223BF">
                              <w:rPr>
                                <w:sz w:val="20"/>
                                <w:szCs w:val="20"/>
                              </w:rPr>
                              <w:t>Site is a key element in City Deal marketing a</w:t>
                            </w:r>
                            <w:r w:rsidRPr="005137F7" w:rsidR="005137F7">
                              <w:rPr>
                                <w:sz w:val="20"/>
                                <w:szCs w:val="20"/>
                              </w:rPr>
                              <w:t>ctivity.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D62C90" w:rsidP="00D62C90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D62C90" w:rsidRPr="005137F7" w:rsidP="003730B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>Cottam Hall (</w:t>
                            </w:r>
                            <w:r w:rsidRPr="005137F7" w:rsidR="00A837AC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upermarket)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>– Retail/Commercial element not likely to come forward due to viability issues. Site progress being monitored by DSDG</w:t>
                            </w:r>
                            <w:r w:rsidRPr="005137F7" w:rsidR="00D223BF">
                              <w:rPr>
                                <w:sz w:val="20"/>
                                <w:szCs w:val="20"/>
                              </w:rPr>
                              <w:t xml:space="preserve"> in respect of housing element.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3730B7" w:rsidP="00D62C90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3730B7" w:rsidRPr="005137F7" w:rsidP="003730B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>Cottam Hall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retail units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 xml:space="preserve">– Retail/Commercial element not likely to come forward due to viability issues. Site progress being monitored by DSDG in respect of housing element.  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D62C90" w:rsidP="00D62C90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D62C90" w:rsidRPr="005137F7" w:rsidP="00D22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Whittingham Hospital </w:t>
                            </w:r>
                            <w:r w:rsidR="005137F7">
                              <w:rPr>
                                <w:b/>
                                <w:sz w:val="20"/>
                                <w:szCs w:val="20"/>
                              </w:rPr>
                              <w:t>(retail</w:t>
                            </w:r>
                            <w:r w:rsidR="003730B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units</w:t>
                            </w:r>
                            <w:r w:rsid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>- Retail/Commercial element not likely to come forward due to viability issues. Site progress being monitored by DSDG</w:t>
                            </w:r>
                            <w:r w:rsidRPr="005137F7" w:rsidR="00D223BF">
                              <w:rPr>
                                <w:sz w:val="20"/>
                                <w:szCs w:val="20"/>
                              </w:rPr>
                              <w:t xml:space="preserve"> in respect of housing element.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D62C90" w:rsidP="00D62C90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D62C90" w:rsidRPr="005137F7" w:rsidP="00D22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Winckley Square (College House)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 xml:space="preserve">– Lack of landlord interest in developing the site despite attempts to engage. The property remains an underutilised asset in a regenerated Winckley Square.   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E7E6E6" w:themeFill="background2"/>
                          </w:tcPr>
                          <w:p w:rsidR="000B4309" w:rsidP="000B4309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  <w:shd w:val="clear" w:color="auto" w:fill="E7E6E6" w:themeFill="background2"/>
                          </w:tcPr>
                          <w:p w:rsidR="000B4309" w:rsidRPr="005137F7" w:rsidP="000B4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South Ribble 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FFC000"/>
                          </w:tcPr>
                          <w:p w:rsidR="00A23E43" w:rsidP="00EA651F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A23E43" w:rsidRPr="005137F7" w:rsidP="005137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>Cop Lane (</w:t>
                            </w:r>
                            <w:r w:rsidRPr="005137F7" w:rsidR="005137F7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upermarket)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>– Challenging retail climate led Tesco to pull out of the scheme. Disposal process underway (to be concluded over the summer)</w:t>
                            </w:r>
                            <w:r w:rsidRPr="005137F7" w:rsidR="00D223BF">
                              <w:rPr>
                                <w:sz w:val="20"/>
                                <w:szCs w:val="20"/>
                              </w:rPr>
                              <w:t xml:space="preserve">. Early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 xml:space="preserve">indications of strong market interest. 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FFC000"/>
                          </w:tcPr>
                          <w:p w:rsidR="00A23E43" w:rsidP="00EA651F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A23E43" w:rsidRPr="005137F7" w:rsidP="005137F7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>Pickerings Farm</w:t>
                            </w:r>
                            <w:r w:rsidRPr="005137F7" w:rsid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37F7" w:rsidR="002172F7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5137F7" w:rsidR="005137F7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5137F7" w:rsidR="002172F7">
                              <w:rPr>
                                <w:b/>
                                <w:sz w:val="20"/>
                                <w:szCs w:val="20"/>
                              </w:rPr>
                              <w:t>ocal centre)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37F7" w:rsidR="002172F7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37F7" w:rsidR="002172F7">
                              <w:rPr>
                                <w:sz w:val="20"/>
                                <w:szCs w:val="20"/>
                              </w:rPr>
                              <w:t>Planning submission expected Q3 2018/19. Site progress monitored by DSDG/Pickerings Farm Steering Group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FFC000"/>
                          </w:tcPr>
                          <w:p w:rsidR="00A23E43" w:rsidP="00EA651F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A23E43" w:rsidRPr="005137F7" w:rsidP="000B43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Cuerden – 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>IKEA withdrawing from site has affected progress.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37F7" w:rsidR="008D278C">
                              <w:rPr>
                                <w:sz w:val="20"/>
                                <w:szCs w:val="20"/>
                              </w:rPr>
                              <w:t xml:space="preserve">Future development options being explored. </w:t>
                            </w:r>
                          </w:p>
                        </w:tc>
                      </w:tr>
                      <w:tr w:rsidTr="0070596B">
                        <w:tblPrEx>
                          <w:tblW w:w="17856" w:type="dxa"/>
                          <w:tblLook w:val="04A0"/>
                        </w:tblPrEx>
                        <w:tc>
                          <w:tcPr>
                            <w:tcW w:w="421" w:type="dxa"/>
                            <w:shd w:val="clear" w:color="auto" w:fill="FFC000"/>
                          </w:tcPr>
                          <w:p w:rsidR="003038BE" w:rsidP="00EA651F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17435" w:type="dxa"/>
                          </w:tcPr>
                          <w:p w:rsidR="003038BE" w:rsidRPr="005137F7" w:rsidP="005137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South Rings </w:t>
                            </w:r>
                            <w:r w:rsidR="005137F7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>retail</w:t>
                            </w:r>
                            <w:r w:rsid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warehouse</w:t>
                            </w:r>
                            <w:r w:rsidR="0070596B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5137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5137F7" w:rsidR="00B26F5A">
                              <w:rPr>
                                <w:sz w:val="20"/>
                                <w:szCs w:val="20"/>
                              </w:rPr>
                              <w:t>Whilst planning permission has been secured the c</w:t>
                            </w:r>
                            <w:r w:rsidRPr="005137F7">
                              <w:rPr>
                                <w:sz w:val="20"/>
                                <w:szCs w:val="20"/>
                              </w:rPr>
                              <w:t>hallenging retail climate has resu</w:t>
                            </w:r>
                            <w:r w:rsidRPr="005137F7" w:rsidR="00D62C90">
                              <w:rPr>
                                <w:sz w:val="20"/>
                                <w:szCs w:val="20"/>
                              </w:rPr>
                              <w:t>lted in no further developments.</w:t>
                            </w:r>
                            <w:r w:rsidRPr="005137F7" w:rsidR="002172F7">
                              <w:rPr>
                                <w:sz w:val="20"/>
                                <w:szCs w:val="20"/>
                              </w:rPr>
                              <w:t xml:space="preserve"> The site is not expected to come forward in the short-term. </w:t>
                            </w:r>
                          </w:p>
                        </w:tc>
                      </w:tr>
                    </w:tbl>
                    <w:p w:rsidR="00A23E43" w:rsidRPr="00D62C90" w:rsidP="0015179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5B1D" w:rsidRPr="00D62C90" w:rsidP="0015179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The Development S</w:t>
                      </w:r>
                      <w:r w:rsidRPr="00D62C90" w:rsidR="00F97570">
                        <w:rPr>
                          <w:b/>
                          <w:sz w:val="24"/>
                          <w:szCs w:val="24"/>
                        </w:rPr>
                        <w:t xml:space="preserve">ites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D62C90" w:rsidR="00F97570">
                        <w:rPr>
                          <w:b/>
                          <w:sz w:val="24"/>
                          <w:szCs w:val="24"/>
                        </w:rPr>
                        <w:t xml:space="preserve">elivery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Pr="00D62C90" w:rsidR="00F97570">
                        <w:rPr>
                          <w:b/>
                          <w:sz w:val="24"/>
                          <w:szCs w:val="24"/>
                        </w:rPr>
                        <w:t xml:space="preserve">roup </w:t>
                      </w:r>
                      <w:r w:rsidRPr="00D62C90" w:rsidR="00381C7D">
                        <w:rPr>
                          <w:b/>
                          <w:sz w:val="24"/>
                          <w:szCs w:val="24"/>
                        </w:rPr>
                        <w:t xml:space="preserve">(DSDG) </w:t>
                      </w:r>
                      <w:r w:rsidRPr="00D62C90" w:rsidR="00F97570">
                        <w:rPr>
                          <w:b/>
                          <w:sz w:val="24"/>
                          <w:szCs w:val="24"/>
                        </w:rPr>
                        <w:t xml:space="preserve">continue to </w:t>
                      </w:r>
                      <w:r w:rsidRPr="00D62C90" w:rsidR="00381C7D">
                        <w:rPr>
                          <w:b/>
                          <w:sz w:val="24"/>
                          <w:szCs w:val="24"/>
                        </w:rPr>
                        <w:t xml:space="preserve">monitor risks that are significant to </w:t>
                      </w:r>
                      <w:r w:rsidRPr="00D62C90" w:rsidR="00461320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D62C90" w:rsidR="00381C7D">
                        <w:rPr>
                          <w:b/>
                          <w:sz w:val="24"/>
                          <w:szCs w:val="24"/>
                        </w:rPr>
                        <w:t xml:space="preserve">ity Deal </w:t>
                      </w:r>
                      <w:r w:rsidRPr="00D62C90" w:rsidR="00F97570">
                        <w:rPr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Pr="00D62C90" w:rsidR="00381C7D">
                        <w:rPr>
                          <w:b/>
                          <w:sz w:val="24"/>
                          <w:szCs w:val="24"/>
                        </w:rPr>
                        <w:t xml:space="preserve">work with partners and developers to </w:t>
                      </w:r>
                      <w:r w:rsidRPr="00D62C90" w:rsidR="00F97570">
                        <w:rPr>
                          <w:b/>
                          <w:sz w:val="24"/>
                          <w:szCs w:val="24"/>
                        </w:rPr>
                        <w:t xml:space="preserve">formulate </w:t>
                      </w:r>
                      <w:r w:rsidRPr="00D62C90" w:rsidR="00381C7D">
                        <w:rPr>
                          <w:b/>
                          <w:sz w:val="24"/>
                          <w:szCs w:val="24"/>
                        </w:rPr>
                        <w:t>appropriate responses.</w:t>
                      </w:r>
                      <w:r w:rsidRPr="00D62C90" w:rsidR="00F97570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798195</wp:posOffset>
                </wp:positionV>
                <wp:extent cx="7239000" cy="4438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39000" cy="443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75E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</w:rPr>
                              <w:t xml:space="preserve">Fig </w:t>
                            </w:r>
                            <w:r w:rsidR="00B207BB">
                              <w:rPr>
                                <w:b/>
                                <w:color w:val="5B9BD5" w:themeColor="accent1"/>
                              </w:rPr>
                              <w:t xml:space="preserve">2 - </w:t>
                            </w:r>
                            <w:r w:rsidR="00032630">
                              <w:rPr>
                                <w:b/>
                                <w:color w:val="5B9BD5" w:themeColor="accent1"/>
                              </w:rPr>
                              <w:t>Summary of e</w:t>
                            </w:r>
                            <w:r w:rsidRPr="000A077E" w:rsidR="00BC055E">
                              <w:rPr>
                                <w:b/>
                                <w:color w:val="5B9BD5" w:themeColor="accent1"/>
                              </w:rPr>
                              <w:t>mployment s</w:t>
                            </w:r>
                            <w:r w:rsidRPr="000A077E" w:rsidR="00AD20F5">
                              <w:rPr>
                                <w:b/>
                                <w:color w:val="5B9BD5" w:themeColor="accent1"/>
                              </w:rPr>
                              <w:t>ites progressing well</w:t>
                            </w:r>
                          </w:p>
                          <w:p w:rsidR="0070596B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50" w:type="pct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10043"/>
                              <w:gridCol w:w="707"/>
                            </w:tblGrid>
                            <w:tr w:rsidTr="0070596B">
                              <w:tblPrEx>
                                <w:tblW w:w="4850" w:type="pct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  <w:insideH w:val="single" w:sz="8" w:space="0" w:color="auto"/>
                                  <w:insideV w:val="single" w:sz="8" w:space="0" w:color="auto"/>
                                </w:tblBorders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0056" w:type="dxa"/>
                                  <w:shd w:val="clear" w:color="auto" w:fill="E7E6E6" w:themeFill="background2"/>
                                </w:tcPr>
                                <w:p w:rsidR="00A837AC" w:rsidRPr="00625B1D" w:rsidP="006C01FF">
                                  <w:pPr>
                                    <w:shd w:val="clear" w:color="auto" w:fill="FFFFFF" w:themeFill="background1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625B1D">
                                    <w:rPr>
                                      <w:rFonts w:cs="Arial"/>
                                      <w:b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A837AC" w:rsidRPr="00625B1D" w:rsidP="006C01FF">
                                  <w:pPr>
                                    <w:shd w:val="clear" w:color="auto" w:fill="FFFFFF" w:themeFill="background1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625B1D">
                                    <w:rPr>
                                      <w:rFonts w:cs="Arial"/>
                                      <w:b/>
                                    </w:rPr>
                                    <w:t>RAG</w:t>
                                  </w:r>
                                </w:p>
                              </w:tc>
                            </w:tr>
                            <w:tr w:rsidTr="0070596B">
                              <w:tblPrEx>
                                <w:tblW w:w="4850" w:type="pct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0056" w:type="dxa"/>
                                  <w:shd w:val="clear" w:color="auto" w:fill="D6DCE4" w:themeFill="text2" w:themeFillTint="33"/>
                                </w:tcPr>
                                <w:p w:rsidR="00A837AC" w:rsidRPr="00A837AC" w:rsidP="006C01FF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A837AC">
                                    <w:rPr>
                                      <w:rFonts w:cs="Arial"/>
                                      <w:b/>
                                    </w:rPr>
                                    <w:t xml:space="preserve">South Ribble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6DCE4" w:themeFill="text2" w:themeFillTint="33"/>
                                  <w:vAlign w:val="center"/>
                                </w:tcPr>
                                <w:p w:rsidR="00A837AC" w:rsidRPr="00A71359" w:rsidP="006C01FF">
                                  <w:pPr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Tr="0070596B">
                              <w:tblPrEx>
                                <w:tblW w:w="4850" w:type="pct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0056" w:type="dxa"/>
                                </w:tcPr>
                                <w:p w:rsidR="00A837AC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137F7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Moss Side Test Track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– Planning application has been submitted, included within which is a range of commercial land use.</w:t>
                                  </w:r>
                                </w:p>
                                <w:p w:rsidR="005137F7" w:rsidRPr="005137F7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00B050"/>
                                  <w:vAlign w:val="center"/>
                                </w:tcPr>
                                <w:p w:rsidR="00A837AC" w:rsidRPr="00A71359" w:rsidP="006C01FF">
                                  <w:pPr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Tr="0070596B">
                              <w:tblPrEx>
                                <w:tblW w:w="4850" w:type="pct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0056" w:type="dxa"/>
                                </w:tcPr>
                                <w:p w:rsidR="00A837AC" w:rsidP="00844630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137F7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Farington Hall Estate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– Disposal process on-going to developer and site activity anticipated in 2019 ahead of City Deal targets.    </w:t>
                                  </w:r>
                                </w:p>
                                <w:p w:rsidR="005137F7" w:rsidRPr="005137F7" w:rsidP="00844630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00B050"/>
                                  <w:vAlign w:val="center"/>
                                </w:tcPr>
                                <w:p w:rsidR="00A837AC" w:rsidRPr="00A71359" w:rsidP="006C01FF">
                                  <w:pPr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Tr="0070596B">
                              <w:tblPrEx>
                                <w:tblW w:w="4850" w:type="pct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0056" w:type="dxa"/>
                                </w:tcPr>
                                <w:p w:rsidR="00A837AC" w:rsidRPr="005137F7" w:rsidP="00A23E43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137F7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South Rings Business Units – 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Completion of hybrid business units ahead of scheduled City Deal targets with strong sales/lettings. Further units currently under construction.  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00B050"/>
                                  <w:vAlign w:val="center"/>
                                </w:tcPr>
                                <w:p w:rsidR="00A837AC" w:rsidRPr="00A71359" w:rsidP="006C01FF">
                                  <w:pPr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Tr="0070596B">
                              <w:tblPrEx>
                                <w:tblW w:w="4850" w:type="pct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0056" w:type="dxa"/>
                                </w:tcPr>
                                <w:p w:rsidR="00A837AC" w:rsidRPr="005137F7" w:rsidP="00C51317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137F7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Samlesbury Enterprise Zone 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– Academy for Knowledge &amp; Skills (ASK) and Defence Logistics Facility built out. Spine Road linking to A59 </w:t>
                                  </w:r>
                                  <w:r w:rsidRPr="005137F7" w:rsidR="00E3419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to A677 complete and due to open </w:t>
                                  </w:r>
                                  <w:r w:rsidRPr="005137F7" w:rsidR="00C5131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imminently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5137F7" w:rsidR="00C5131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Ongoing enquiry handling and next phase site delivery strategy under preparation. 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00B050"/>
                                  <w:vAlign w:val="center"/>
                                </w:tcPr>
                                <w:p w:rsidR="00A837AC" w:rsidRPr="00A71359" w:rsidP="006C01FF">
                                  <w:pPr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Tr="0070596B">
                              <w:tblPrEx>
                                <w:tblW w:w="4850" w:type="pct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0056" w:type="dxa"/>
                                  <w:shd w:val="clear" w:color="auto" w:fill="D6DCE4" w:themeFill="text2" w:themeFillTint="33"/>
                                </w:tcPr>
                                <w:p w:rsidR="00A837AC" w:rsidRPr="005137F7" w:rsidP="00A837AC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137F7">
                                    <w:rPr>
                                      <w:rFonts w:cs="Arial"/>
                                      <w:b/>
                                    </w:rPr>
                                    <w:t xml:space="preserve">Preston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6DCE4" w:themeFill="text2" w:themeFillTint="33"/>
                                  <w:vAlign w:val="center"/>
                                </w:tcPr>
                                <w:p w:rsidR="00A837AC" w:rsidRPr="00BC055E" w:rsidP="006C01FF">
                                  <w:pPr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Tr="0070596B">
                              <w:tblPrEx>
                                <w:tblW w:w="4850" w:type="pct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0056" w:type="dxa"/>
                                </w:tcPr>
                                <w:p w:rsidR="00A837AC" w:rsidRPr="005137F7" w:rsidP="002A69CA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137F7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Preston East Employment Sites 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– Ongoing build out</w:t>
                                  </w:r>
                                  <w:r w:rsidRPr="005137F7" w:rsidR="002A69C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of small industrial units and car retail showrooms 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at 'Vision' at Red Scar and other Preston East sites (eg. Sector D site</w:t>
                                  </w:r>
                                  <w:r w:rsidRPr="005137F7" w:rsidR="002A69C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. Preparation for marketing and disposal of </w:t>
                                  </w:r>
                                  <w:r w:rsidRPr="005137F7" w:rsidR="002A69C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Homes England 'E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xpansion </w:t>
                                  </w:r>
                                  <w:r w:rsidRPr="005137F7" w:rsidR="002A69C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5137F7" w:rsidR="002A69C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to begin next year. 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00B050"/>
                                  <w:vAlign w:val="center"/>
                                </w:tcPr>
                                <w:p w:rsidR="00A837AC" w:rsidRPr="008A672A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Tr="0070596B">
                              <w:tblPrEx>
                                <w:tblW w:w="4850" w:type="pct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0056" w:type="dxa"/>
                                </w:tcPr>
                                <w:p w:rsidR="00A837AC" w:rsidRPr="005137F7" w:rsidP="00E32E74">
                                  <w:pPr>
                                    <w:tabs>
                                      <w:tab w:val="left" w:pos="363"/>
                                    </w:tabs>
                                    <w:ind w:left="360" w:hanging="422"/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137F7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UCLan campus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– Engineering Innovation Centre on site and due for</w:t>
                                  </w:r>
                                  <w:r w:rsidRPr="005137F7" w:rsid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completion January 2019. Preparation being made for start on site</w:t>
                                  </w:r>
                                </w:p>
                                <w:p w:rsidR="00A837AC" w:rsidRPr="005137F7" w:rsidP="002A69CA">
                                  <w:pPr>
                                    <w:tabs>
                                      <w:tab w:val="left" w:pos="363"/>
                                    </w:tabs>
                                    <w:ind w:left="360" w:hanging="422"/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137F7" w:rsidR="002A69C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Student Centre in 2019/20.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00B050"/>
                                  <w:vAlign w:val="center"/>
                                </w:tcPr>
                                <w:p w:rsidR="00A837AC" w:rsidRPr="008A672A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Tr="0070596B">
                              <w:tblPrEx>
                                <w:tblW w:w="4850" w:type="pct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0056" w:type="dxa"/>
                                </w:tcPr>
                                <w:p w:rsidR="00A837AC" w:rsidRPr="005137F7" w:rsidP="00E32E74">
                                  <w:pPr>
                                    <w:tabs>
                                      <w:tab w:val="left" w:pos="0"/>
                                    </w:tabs>
                                    <w:ind w:left="360" w:hanging="422"/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137F7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Horrockses (Queen's Retail Park) 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– Ongoing build out with new food</w:t>
                                  </w:r>
                                  <w:r w:rsid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&amp; beverage units</w:t>
                                  </w:r>
                                  <w:r w:rsidRPr="005137F7" w:rsidR="002A69C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refurbished retail warehouse</w:t>
                                  </w:r>
                                  <w:r w:rsidRPr="005137F7" w:rsidR="002A69C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. P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lanning</w:t>
                                  </w:r>
                                </w:p>
                                <w:p w:rsidR="00A837AC" w:rsidRPr="005137F7" w:rsidP="004C42D8">
                                  <w:pPr>
                                    <w:tabs>
                                      <w:tab w:val="left" w:pos="0"/>
                                    </w:tabs>
                                    <w:ind w:left="360" w:hanging="422"/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application </w:t>
                                  </w:r>
                                  <w:r w:rsidRPr="005137F7" w:rsidR="002A69C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has been 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consented for additional retail units.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00B050"/>
                                  <w:vAlign w:val="center"/>
                                </w:tcPr>
                                <w:p w:rsidR="00A837AC" w:rsidRPr="00BC055E" w:rsidP="006C01FF">
                                  <w:pPr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Tr="0070596B">
                              <w:tblPrEx>
                                <w:tblW w:w="4850" w:type="pct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0056" w:type="dxa"/>
                                </w:tcPr>
                                <w:p w:rsidR="00A837AC" w:rsidP="00844630">
                                  <w:pPr>
                                    <w:tabs>
                                      <w:tab w:val="left" w:pos="426"/>
                                    </w:tabs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137F7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Guild Hall Theatre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– New leisure destination completed (LeVel).</w:t>
                                  </w:r>
                                  <w:r w:rsid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5137F7" w:rsidRPr="005137F7" w:rsidP="00844630">
                                  <w:pPr>
                                    <w:tabs>
                                      <w:tab w:val="left" w:pos="426"/>
                                    </w:tabs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00B050"/>
                                  <w:vAlign w:val="center"/>
                                </w:tcPr>
                                <w:p w:rsidR="00A837AC" w:rsidRPr="00BC055E" w:rsidP="006C01FF">
                                  <w:pPr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Tr="0070596B">
                              <w:tblPrEx>
                                <w:tblW w:w="4850" w:type="pct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0056" w:type="dxa"/>
                                </w:tcPr>
                                <w:p w:rsidR="00A837AC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137F7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Prince's Central Building</w:t>
                                  </w:r>
                                  <w:r w:rsidRPr="005137F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– Business case being developed for new Health Hub.    </w:t>
                                  </w:r>
                                </w:p>
                                <w:p w:rsidR="005137F7" w:rsidRPr="005137F7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00B050"/>
                                  <w:vAlign w:val="center"/>
                                </w:tcPr>
                                <w:p w:rsidR="00A837AC" w:rsidRPr="00BC055E" w:rsidP="006C01FF">
                                  <w:pPr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055E" w:rsidRPr="00177197" w:rsidP="00BC055E">
                            <w:pPr>
                              <w:tabs>
                                <w:tab w:val="left" w:pos="426"/>
                              </w:tabs>
                              <w:ind w:left="360"/>
                              <w:contextualSpacing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055E" w:rsidRPr="00177197" w:rsidP="00BC055E">
                            <w:pPr>
                              <w:tabs>
                                <w:tab w:val="left" w:pos="426"/>
                              </w:tabs>
                              <w:ind w:left="360"/>
                              <w:contextualSpacing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21E4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  <w:p w:rsidR="00E021E4" w:rsidRPr="00703B3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70pt;height:349.5pt;margin-top:62.85pt;margin-left:525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7456" fillcolor="white" strokeweight="0.5pt">
                <v:textbox>
                  <w:txbxContent>
                    <w:p w:rsidR="0051075E">
                      <w:pPr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b/>
                          <w:color w:val="5B9BD5" w:themeColor="accent1"/>
                        </w:rPr>
                        <w:t xml:space="preserve">Fig </w:t>
                      </w:r>
                      <w:r w:rsidR="00B207BB">
                        <w:rPr>
                          <w:b/>
                          <w:color w:val="5B9BD5" w:themeColor="accent1"/>
                        </w:rPr>
                        <w:t xml:space="preserve">2 - </w:t>
                      </w:r>
                      <w:r w:rsidR="00032630">
                        <w:rPr>
                          <w:b/>
                          <w:color w:val="5B9BD5" w:themeColor="accent1"/>
                        </w:rPr>
                        <w:t>Summary of e</w:t>
                      </w:r>
                      <w:r w:rsidRPr="000A077E" w:rsidR="00BC055E">
                        <w:rPr>
                          <w:b/>
                          <w:color w:val="5B9BD5" w:themeColor="accent1"/>
                        </w:rPr>
                        <w:t>mployment s</w:t>
                      </w:r>
                      <w:r w:rsidRPr="000A077E" w:rsidR="00AD20F5">
                        <w:rPr>
                          <w:b/>
                          <w:color w:val="5B9BD5" w:themeColor="accent1"/>
                        </w:rPr>
                        <w:t>ites progressing well</w:t>
                      </w:r>
                    </w:p>
                    <w:p w:rsidR="0070596B">
                      <w:pPr>
                        <w:rPr>
                          <w:b/>
                          <w:color w:val="5B9BD5" w:themeColor="accent1"/>
                        </w:rPr>
                      </w:pPr>
                    </w:p>
                    <w:tbl>
                      <w:tblPr>
                        <w:tblStyle w:val="TableGrid"/>
                        <w:tblW w:w="4850" w:type="pct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10043"/>
                        <w:gridCol w:w="707"/>
                      </w:tblGrid>
                      <w:tr w:rsidTr="0070596B">
                        <w:tblPrEx>
                          <w:tblW w:w="4850" w:type="pct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  <w:insideH w:val="single" w:sz="8" w:space="0" w:color="auto"/>
                            <w:insideV w:val="single" w:sz="8" w:space="0" w:color="auto"/>
                          </w:tblBorders>
                          <w:tblLayout w:type="fixed"/>
                          <w:tblLook w:val="04A0"/>
                        </w:tblPrEx>
                        <w:tc>
                          <w:tcPr>
                            <w:tcW w:w="10056" w:type="dxa"/>
                            <w:shd w:val="clear" w:color="auto" w:fill="E7E6E6" w:themeFill="background2"/>
                          </w:tcPr>
                          <w:p w:rsidR="00A837AC" w:rsidRPr="00625B1D" w:rsidP="006C01FF">
                            <w:pPr>
                              <w:shd w:val="clear" w:color="auto" w:fill="FFFFFF" w:themeFill="background1"/>
                              <w:rPr>
                                <w:rFonts w:cs="Arial"/>
                                <w:b/>
                              </w:rPr>
                            </w:pPr>
                            <w:r w:rsidRPr="00625B1D">
                              <w:rPr>
                                <w:rFonts w:cs="Arial"/>
                                <w:b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E7E6E6" w:themeFill="background2"/>
                            <w:vAlign w:val="center"/>
                          </w:tcPr>
                          <w:p w:rsidR="00A837AC" w:rsidRPr="00625B1D" w:rsidP="006C01FF">
                            <w:pPr>
                              <w:shd w:val="clear" w:color="auto" w:fill="FFFFFF" w:themeFill="background1"/>
                              <w:rPr>
                                <w:rFonts w:cs="Arial"/>
                                <w:b/>
                              </w:rPr>
                            </w:pPr>
                            <w:r w:rsidRPr="00625B1D">
                              <w:rPr>
                                <w:rFonts w:cs="Arial"/>
                                <w:b/>
                              </w:rPr>
                              <w:t>RAG</w:t>
                            </w:r>
                          </w:p>
                        </w:tc>
                      </w:tr>
                      <w:tr w:rsidTr="0070596B">
                        <w:tblPrEx>
                          <w:tblW w:w="4850" w:type="pct"/>
                          <w:tblLayout w:type="fixed"/>
                          <w:tblLook w:val="04A0"/>
                        </w:tblPrEx>
                        <w:tc>
                          <w:tcPr>
                            <w:tcW w:w="10056" w:type="dxa"/>
                            <w:shd w:val="clear" w:color="auto" w:fill="D6DCE4" w:themeFill="text2" w:themeFillTint="33"/>
                          </w:tcPr>
                          <w:p w:rsidR="00A837AC" w:rsidRPr="00A837AC" w:rsidP="006C01F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A837AC">
                              <w:rPr>
                                <w:rFonts w:cs="Arial"/>
                                <w:b/>
                              </w:rPr>
                              <w:t xml:space="preserve">South Ribble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6DCE4" w:themeFill="text2" w:themeFillTint="33"/>
                            <w:vAlign w:val="center"/>
                          </w:tcPr>
                          <w:p w:rsidR="00A837AC" w:rsidRPr="00A71359" w:rsidP="006C01FF">
                            <w:pPr>
                              <w:rPr>
                                <w:rFonts w:cs="Arial"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Tr="0070596B">
                        <w:tblPrEx>
                          <w:tblW w:w="4850" w:type="pct"/>
                          <w:tblLayout w:type="fixed"/>
                          <w:tblLook w:val="04A0"/>
                        </w:tblPrEx>
                        <w:tc>
                          <w:tcPr>
                            <w:tcW w:w="10056" w:type="dxa"/>
                          </w:tcPr>
                          <w:p w:rsidR="00A837AC" w:rsidP="006C01FF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137F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Moss Side Test Track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– Planning application has been submitted, included within which is a range of commercial land use.</w:t>
                            </w:r>
                          </w:p>
                          <w:p w:rsidR="005137F7" w:rsidRPr="005137F7" w:rsidP="006C01FF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00B050"/>
                            <w:vAlign w:val="center"/>
                          </w:tcPr>
                          <w:p w:rsidR="00A837AC" w:rsidRPr="00A71359" w:rsidP="006C01FF">
                            <w:pPr>
                              <w:rPr>
                                <w:rFonts w:cs="Arial"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Tr="0070596B">
                        <w:tblPrEx>
                          <w:tblW w:w="4850" w:type="pct"/>
                          <w:tblLayout w:type="fixed"/>
                          <w:tblLook w:val="04A0"/>
                        </w:tblPrEx>
                        <w:tc>
                          <w:tcPr>
                            <w:tcW w:w="10056" w:type="dxa"/>
                          </w:tcPr>
                          <w:p w:rsidR="00A837AC" w:rsidP="0084463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137F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Farington Hall Estate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– Disposal process on-going to developer and site activity anticipated in 2019 ahead of City Deal targets.    </w:t>
                            </w:r>
                          </w:p>
                          <w:p w:rsidR="005137F7" w:rsidRPr="005137F7" w:rsidP="0084463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00B050"/>
                            <w:vAlign w:val="center"/>
                          </w:tcPr>
                          <w:p w:rsidR="00A837AC" w:rsidRPr="00A71359" w:rsidP="006C01FF">
                            <w:pPr>
                              <w:rPr>
                                <w:rFonts w:cs="Arial"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Tr="0070596B">
                        <w:tblPrEx>
                          <w:tblW w:w="4850" w:type="pct"/>
                          <w:tblLayout w:type="fixed"/>
                          <w:tblLook w:val="04A0"/>
                        </w:tblPrEx>
                        <w:tc>
                          <w:tcPr>
                            <w:tcW w:w="10056" w:type="dxa"/>
                          </w:tcPr>
                          <w:p w:rsidR="00A837AC" w:rsidRPr="005137F7" w:rsidP="00A23E4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137F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South Rings Business Units – 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Completion of hybrid business units ahead of scheduled City Deal targets with strong sales/lettings. Further units currently under construction.  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00B050"/>
                            <w:vAlign w:val="center"/>
                          </w:tcPr>
                          <w:p w:rsidR="00A837AC" w:rsidRPr="00A71359" w:rsidP="006C01FF">
                            <w:pPr>
                              <w:rPr>
                                <w:rFonts w:cs="Arial"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Tr="0070596B">
                        <w:tblPrEx>
                          <w:tblW w:w="4850" w:type="pct"/>
                          <w:tblLayout w:type="fixed"/>
                          <w:tblLook w:val="04A0"/>
                        </w:tblPrEx>
                        <w:tc>
                          <w:tcPr>
                            <w:tcW w:w="10056" w:type="dxa"/>
                          </w:tcPr>
                          <w:p w:rsidR="00A837AC" w:rsidRPr="005137F7" w:rsidP="00C5131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137F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Samlesbury Enterprise Zone 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– Academy for Knowledge &amp; Skills (ASK) and Defence Logistics Facility built out. Spine Road linking to A59 </w:t>
                            </w:r>
                            <w:r w:rsidRPr="005137F7" w:rsidR="00E3419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to A677 complete and due to open </w:t>
                            </w:r>
                            <w:r w:rsidRPr="005137F7" w:rsidR="00C51317">
                              <w:rPr>
                                <w:rFonts w:cs="Arial"/>
                                <w:sz w:val="18"/>
                                <w:szCs w:val="18"/>
                              </w:rPr>
                              <w:t>imminently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5137F7" w:rsidR="00C5131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Ongoing enquiry handling and next phase site delivery strategy under preparation. 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00B050"/>
                            <w:vAlign w:val="center"/>
                          </w:tcPr>
                          <w:p w:rsidR="00A837AC" w:rsidRPr="00A71359" w:rsidP="006C01FF">
                            <w:pPr>
                              <w:rPr>
                                <w:rFonts w:cs="Arial"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Tr="0070596B">
                        <w:tblPrEx>
                          <w:tblW w:w="4850" w:type="pct"/>
                          <w:tblLayout w:type="fixed"/>
                          <w:tblLook w:val="04A0"/>
                        </w:tblPrEx>
                        <w:tc>
                          <w:tcPr>
                            <w:tcW w:w="10056" w:type="dxa"/>
                            <w:shd w:val="clear" w:color="auto" w:fill="D6DCE4" w:themeFill="text2" w:themeFillTint="33"/>
                          </w:tcPr>
                          <w:p w:rsidR="00A837AC" w:rsidRPr="005137F7" w:rsidP="00A837A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137F7">
                              <w:rPr>
                                <w:rFonts w:cs="Arial"/>
                                <w:b/>
                              </w:rPr>
                              <w:t xml:space="preserve">Preston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6DCE4" w:themeFill="text2" w:themeFillTint="33"/>
                            <w:vAlign w:val="center"/>
                          </w:tcPr>
                          <w:p w:rsidR="00A837AC" w:rsidRPr="00BC055E" w:rsidP="006C01FF">
                            <w:pPr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Tr="0070596B">
                        <w:tblPrEx>
                          <w:tblW w:w="4850" w:type="pct"/>
                          <w:tblLayout w:type="fixed"/>
                          <w:tblLook w:val="04A0"/>
                        </w:tblPrEx>
                        <w:tc>
                          <w:tcPr>
                            <w:tcW w:w="10056" w:type="dxa"/>
                          </w:tcPr>
                          <w:p w:rsidR="00A837AC" w:rsidRPr="005137F7" w:rsidP="002A69C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137F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Preston East Employment Sites 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>– Ongoing build out</w:t>
                            </w:r>
                            <w:r w:rsidRPr="005137F7" w:rsidR="002A69C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of small industrial units and car retail showrooms 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>at 'Vision' at Red Scar and other Preston East sites (eg. Sector D site</w:t>
                            </w:r>
                            <w:r w:rsidRPr="005137F7" w:rsidR="002A69CA"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Preparation for marketing and disposal of </w:t>
                            </w:r>
                            <w:r w:rsidRPr="005137F7" w:rsidR="002A69CA">
                              <w:rPr>
                                <w:rFonts w:cs="Arial"/>
                                <w:sz w:val="18"/>
                                <w:szCs w:val="18"/>
                              </w:rPr>
                              <w:t>Homes England 'E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xpansion </w:t>
                            </w:r>
                            <w:r w:rsidRPr="005137F7" w:rsidR="002A69CA">
                              <w:rPr>
                                <w:rFonts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>and</w:t>
                            </w:r>
                            <w:r w:rsidRPr="005137F7" w:rsidR="002A69CA">
                              <w:rPr>
                                <w:rFonts w:cs="Arial"/>
                                <w:sz w:val="18"/>
                                <w:szCs w:val="18"/>
                              </w:rPr>
                              <w:t>'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to begin next year. 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00B050"/>
                            <w:vAlign w:val="center"/>
                          </w:tcPr>
                          <w:p w:rsidR="00A837AC" w:rsidRPr="008A672A" w:rsidP="006C01FF">
                            <w:pPr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Tr="0070596B">
                        <w:tblPrEx>
                          <w:tblW w:w="4850" w:type="pct"/>
                          <w:tblLayout w:type="fixed"/>
                          <w:tblLook w:val="04A0"/>
                        </w:tblPrEx>
                        <w:tc>
                          <w:tcPr>
                            <w:tcW w:w="10056" w:type="dxa"/>
                          </w:tcPr>
                          <w:p w:rsidR="00A837AC" w:rsidRPr="005137F7" w:rsidP="00E32E74">
                            <w:pPr>
                              <w:tabs>
                                <w:tab w:val="left" w:pos="363"/>
                              </w:tabs>
                              <w:ind w:left="360" w:hanging="422"/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37F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UCLan campus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– Engineering Innovation Centre on site and due for</w:t>
                            </w:r>
                            <w:r w:rsidRPr="005137F7" w:rsid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>completion January 2019. Preparation being made for start on site</w:t>
                            </w:r>
                          </w:p>
                          <w:p w:rsidR="00A837AC" w:rsidRPr="005137F7" w:rsidP="002A69CA">
                            <w:pPr>
                              <w:tabs>
                                <w:tab w:val="left" w:pos="363"/>
                              </w:tabs>
                              <w:ind w:left="360" w:hanging="422"/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37F7" w:rsidR="002A69CA">
                              <w:rPr>
                                <w:rFonts w:cs="Arial"/>
                                <w:sz w:val="18"/>
                                <w:szCs w:val="18"/>
                              </w:rPr>
                              <w:t>of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Student Centre in 2019/20.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00B050"/>
                            <w:vAlign w:val="center"/>
                          </w:tcPr>
                          <w:p w:rsidR="00A837AC" w:rsidRPr="008A672A" w:rsidP="006C01FF">
                            <w:pPr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Tr="0070596B">
                        <w:tblPrEx>
                          <w:tblW w:w="4850" w:type="pct"/>
                          <w:tblLayout w:type="fixed"/>
                          <w:tblLook w:val="04A0"/>
                        </w:tblPrEx>
                        <w:tc>
                          <w:tcPr>
                            <w:tcW w:w="10056" w:type="dxa"/>
                          </w:tcPr>
                          <w:p w:rsidR="00A837AC" w:rsidRPr="005137F7" w:rsidP="00E32E74">
                            <w:pPr>
                              <w:tabs>
                                <w:tab w:val="left" w:pos="0"/>
                              </w:tabs>
                              <w:ind w:left="360" w:hanging="422"/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137F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Horrockses (Queen's Retail Park) 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>– Ongoing build out with new food</w:t>
                            </w:r>
                            <w:r w:rsid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>&amp; beverage units</w:t>
                            </w:r>
                            <w:r w:rsidRPr="005137F7" w:rsidR="002A69C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>refurbished retail warehouse</w:t>
                            </w:r>
                            <w:r w:rsidRPr="005137F7" w:rsidR="002A69CA">
                              <w:rPr>
                                <w:rFonts w:cs="Arial"/>
                                <w:sz w:val="18"/>
                                <w:szCs w:val="18"/>
                              </w:rPr>
                              <w:t>. P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>lanning</w:t>
                            </w:r>
                          </w:p>
                          <w:p w:rsidR="00A837AC" w:rsidRPr="005137F7" w:rsidP="004C42D8">
                            <w:pPr>
                              <w:tabs>
                                <w:tab w:val="left" w:pos="0"/>
                              </w:tabs>
                              <w:ind w:left="360" w:hanging="422"/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application </w:t>
                            </w:r>
                            <w:r w:rsidRPr="005137F7" w:rsidR="002A69C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has been 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>consented for additional retail units.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00B050"/>
                            <w:vAlign w:val="center"/>
                          </w:tcPr>
                          <w:p w:rsidR="00A837AC" w:rsidRPr="00BC055E" w:rsidP="006C01FF">
                            <w:pPr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Tr="0070596B">
                        <w:tblPrEx>
                          <w:tblW w:w="4850" w:type="pct"/>
                          <w:tblLayout w:type="fixed"/>
                          <w:tblLook w:val="04A0"/>
                        </w:tblPrEx>
                        <w:tc>
                          <w:tcPr>
                            <w:tcW w:w="10056" w:type="dxa"/>
                          </w:tcPr>
                          <w:p w:rsidR="00A837AC" w:rsidP="00844630">
                            <w:pPr>
                              <w:tabs>
                                <w:tab w:val="left" w:pos="426"/>
                              </w:tabs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137F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Guild Hall Theatre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– New leisure destination completed (LeVel).</w:t>
                            </w:r>
                            <w:r w:rsid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137F7" w:rsidRPr="005137F7" w:rsidP="00844630">
                            <w:pPr>
                              <w:tabs>
                                <w:tab w:val="left" w:pos="426"/>
                              </w:tabs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00B050"/>
                            <w:vAlign w:val="center"/>
                          </w:tcPr>
                          <w:p w:rsidR="00A837AC" w:rsidRPr="00BC055E" w:rsidP="006C01FF">
                            <w:pPr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Tr="0070596B">
                        <w:tblPrEx>
                          <w:tblW w:w="4850" w:type="pct"/>
                          <w:tblLayout w:type="fixed"/>
                          <w:tblLook w:val="04A0"/>
                        </w:tblPrEx>
                        <w:tc>
                          <w:tcPr>
                            <w:tcW w:w="10056" w:type="dxa"/>
                          </w:tcPr>
                          <w:p w:rsidR="00A837AC" w:rsidP="006C01FF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137F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Prince's Central Building</w:t>
                            </w:r>
                            <w:r w:rsidRPr="005137F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– Business case being developed for new Health Hub.    </w:t>
                            </w:r>
                          </w:p>
                          <w:p w:rsidR="005137F7" w:rsidRPr="005137F7" w:rsidP="006C01FF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00B050"/>
                            <w:vAlign w:val="center"/>
                          </w:tcPr>
                          <w:p w:rsidR="00A837AC" w:rsidRPr="00BC055E" w:rsidP="006C01FF">
                            <w:pPr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BC055E" w:rsidRPr="00177197" w:rsidP="00BC055E">
                      <w:pPr>
                        <w:tabs>
                          <w:tab w:val="left" w:pos="426"/>
                        </w:tabs>
                        <w:ind w:left="360"/>
                        <w:contextualSpacing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BC055E" w:rsidRPr="00177197" w:rsidP="00BC055E">
                      <w:pPr>
                        <w:tabs>
                          <w:tab w:val="left" w:pos="426"/>
                        </w:tabs>
                        <w:ind w:left="360"/>
                        <w:contextualSpacing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E021E4">
                      <w:pPr>
                        <w:rPr>
                          <w:b/>
                          <w:color w:val="5B9BD5" w:themeColor="accent1"/>
                        </w:rPr>
                      </w:pPr>
                    </w:p>
                    <w:p w:rsidR="00E021E4" w:rsidRPr="00703B36">
                      <w:pPr>
                        <w:rPr>
                          <w:b/>
                          <w:color w:val="5B9BD5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779145</wp:posOffset>
                </wp:positionV>
                <wp:extent cx="6696075" cy="4457700"/>
                <wp:effectExtent l="0" t="0" r="28575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96075" cy="4457700"/>
                        </a:xfrm>
                        <a:prstGeom prst="roundRect">
                          <a:avLst>
                            <a:gd name="adj" fmla="val 914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B12D8" w:rsidP="000F648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99CC"/>
                              </w:rPr>
                            </w:pPr>
                            <w:r>
                              <w:rPr>
                                <w:b/>
                                <w:color w:val="0099CC"/>
                              </w:rPr>
                              <w:t xml:space="preserve">Fig. 1 </w:t>
                            </w:r>
                            <w:r w:rsidR="00ED5C43">
                              <w:rPr>
                                <w:b/>
                                <w:color w:val="0099CC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99CC"/>
                              </w:rPr>
                              <w:t xml:space="preserve"> </w:t>
                            </w:r>
                            <w:r w:rsidR="00ED5C43">
                              <w:rPr>
                                <w:b/>
                                <w:color w:val="0099CC"/>
                              </w:rPr>
                              <w:t xml:space="preserve">Employment </w:t>
                            </w:r>
                            <w:r>
                              <w:rPr>
                                <w:b/>
                                <w:color w:val="0099CC"/>
                              </w:rPr>
                              <w:t xml:space="preserve">delivery progress up to </w:t>
                            </w:r>
                            <w:r w:rsidR="00A837AC">
                              <w:rPr>
                                <w:b/>
                                <w:color w:val="0099CC"/>
                              </w:rPr>
                              <w:t xml:space="preserve">March </w:t>
                            </w:r>
                            <w:r>
                              <w:rPr>
                                <w:b/>
                                <w:color w:val="0099CC"/>
                              </w:rPr>
                              <w:t>201</w:t>
                            </w:r>
                            <w:r w:rsidR="00ED5C43">
                              <w:rPr>
                                <w:b/>
                                <w:color w:val="0099CC"/>
                              </w:rPr>
                              <w:t>8</w:t>
                            </w:r>
                          </w:p>
                          <w:p w:rsidR="0070596B" w:rsidP="000F648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99CC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201" w:type="dxa"/>
                              <w:tblLayout w:type="fixed"/>
                              <w:tblLook w:val="04A0"/>
                            </w:tblPr>
                            <w:tblGrid>
                              <w:gridCol w:w="4248"/>
                              <w:gridCol w:w="425"/>
                              <w:gridCol w:w="5528"/>
                            </w:tblGrid>
                            <w:tr w:rsidTr="005137F7">
                              <w:tblPrEx>
                                <w:tblW w:w="10201" w:type="dxa"/>
                                <w:tblLayout w:type="fixed"/>
                                <w:tblLook w:val="04A0"/>
                              </w:tblPrEx>
                              <w:trPr>
                                <w:trHeight w:val="5528"/>
                              </w:trPr>
                              <w:tc>
                                <w:tcPr>
                                  <w:tcW w:w="4248" w:type="dxa"/>
                                </w:tcPr>
                                <w:p w:rsidR="005E0D0D" w:rsidP="000F648E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95625" cy="3343275"/>
                                        <wp:effectExtent l="0" t="0" r="9525" b="9525"/>
                                        <wp:docPr id="1377609196" name="Chart 3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5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E0D0D" w:rsidP="000F648E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F6649D" w:rsidP="005E0D0D"/>
                                <w:p w:rsidR="005E0D0D" w:rsidRPr="00466CF6" w:rsidP="005E0D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6CF6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5E0D0D" w:rsidRPr="00466CF6" w:rsidP="005E0D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6CF6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5382" w:type="dxa"/>
                                    <w:tblLayout w:type="fixed"/>
                                    <w:tblLook w:val="04A0"/>
                                  </w:tblPr>
                                  <w:tblGrid>
                                    <w:gridCol w:w="332"/>
                                    <w:gridCol w:w="5050"/>
                                  </w:tblGrid>
                                  <w:tr w:rsidTr="005137F7">
                                    <w:tblPrEx>
                                      <w:tblW w:w="5382" w:type="dxa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554"/>
                                    </w:trPr>
                                    <w:tc>
                                      <w:tcPr>
                                        <w:tcW w:w="332" w:type="dxa"/>
                                        <w:shd w:val="clear" w:color="auto" w:fill="00B050"/>
                                      </w:tcPr>
                                      <w:p w:rsidR="002A69CA" w:rsidP="002A69CA">
                                        <w:pPr>
                                          <w:jc w:val="both"/>
                                          <w:rPr>
                                            <w:b/>
                                            <w:color w:val="0099CC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50" w:type="dxa"/>
                                      </w:tcPr>
                                      <w:p w:rsidR="002A69CA" w:rsidRPr="00B207BB" w:rsidP="002A69CA">
                                        <w:pPr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07B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No. of sites where 'delivery is on target'. Either on site or planning is progressing as anticipated.</w:t>
                                        </w:r>
                                      </w:p>
                                      <w:p w:rsidR="002A69CA" w:rsidRPr="00B207BB" w:rsidP="002A69CA">
                                        <w:pPr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Tr="005137F7">
                                    <w:tblPrEx>
                                      <w:tblW w:w="5382" w:type="dxa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592"/>
                                    </w:trPr>
                                    <w:tc>
                                      <w:tcPr>
                                        <w:tcW w:w="332" w:type="dxa"/>
                                        <w:shd w:val="clear" w:color="auto" w:fill="FFD965" w:themeFill="accent4" w:themeFillTint="99"/>
                                      </w:tcPr>
                                      <w:p w:rsidR="002A69CA" w:rsidP="002A69CA">
                                        <w:pPr>
                                          <w:jc w:val="both"/>
                                          <w:rPr>
                                            <w:b/>
                                            <w:color w:val="0099CC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50" w:type="dxa"/>
                                      </w:tcPr>
                                      <w:p w:rsidR="002A69CA" w:rsidRPr="00B207BB" w:rsidP="002A69CA">
                                        <w:pPr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07B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No.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of </w:t>
                                        </w:r>
                                        <w:r w:rsidRPr="00B207B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sites where 'issues have been identified or progress slower than expected' but mitigation is in place. </w:t>
                                        </w:r>
                                      </w:p>
                                    </w:tc>
                                  </w:tr>
                                  <w:tr w:rsidTr="005137F7">
                                    <w:tblPrEx>
                                      <w:tblW w:w="5382" w:type="dxa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699"/>
                                    </w:trPr>
                                    <w:tc>
                                      <w:tcPr>
                                        <w:tcW w:w="332" w:type="dxa"/>
                                        <w:shd w:val="clear" w:color="auto" w:fill="FF0000"/>
                                      </w:tcPr>
                                      <w:p w:rsidR="002A69CA" w:rsidP="002A69CA">
                                        <w:pPr>
                                          <w:jc w:val="both"/>
                                          <w:rPr>
                                            <w:b/>
                                            <w:color w:val="0099CC"/>
                                          </w:rPr>
                                        </w:pPr>
                                      </w:p>
                                      <w:p w:rsidR="002A69CA" w:rsidP="002A69CA">
                                        <w:pPr>
                                          <w:jc w:val="both"/>
                                          <w:rPr>
                                            <w:b/>
                                            <w:color w:val="0099CC"/>
                                          </w:rPr>
                                        </w:pPr>
                                      </w:p>
                                      <w:p w:rsidR="002A69CA" w:rsidP="002A69CA">
                                        <w:pPr>
                                          <w:jc w:val="both"/>
                                          <w:rPr>
                                            <w:b/>
                                            <w:color w:val="0099CC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50" w:type="dxa"/>
                                      </w:tcPr>
                                      <w:p w:rsidR="002A69CA" w:rsidRPr="00B207BB" w:rsidP="002A69CA">
                                        <w:pPr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07B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No.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of </w:t>
                                        </w:r>
                                        <w:r w:rsidRPr="00B207B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sites where 'issues have been raised or progress slower than expected' but no mitigation is in place.</w:t>
                                        </w:r>
                                      </w:p>
                                    </w:tc>
                                  </w:tr>
                                  <w:tr w:rsidTr="005137F7">
                                    <w:tblPrEx>
                                      <w:tblW w:w="5382" w:type="dxa"/>
                                      <w:tblLayout w:type="fixed"/>
                                      <w:tblLook w:val="04A0"/>
                                    </w:tblPrEx>
                                    <w:trPr>
                                      <w:trHeight w:val="455"/>
                                    </w:trPr>
                                    <w:tc>
                                      <w:tcPr>
                                        <w:tcW w:w="332" w:type="dxa"/>
                                        <w:shd w:val="clear" w:color="auto" w:fill="D0CECE" w:themeFill="background2" w:themeFillShade="E6"/>
                                      </w:tcPr>
                                      <w:p w:rsidR="002A69CA" w:rsidP="002A69CA">
                                        <w:pPr>
                                          <w:jc w:val="both"/>
                                          <w:rPr>
                                            <w:b/>
                                            <w:color w:val="0099CC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50" w:type="dxa"/>
                                      </w:tcPr>
                                      <w:p w:rsidR="002A69CA" w:rsidRPr="00B207BB" w:rsidP="002A69CA">
                                        <w:pPr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07B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Total number of sites completed to date </w:t>
                                        </w:r>
                                      </w:p>
                                      <w:p w:rsidR="002A69CA" w:rsidRPr="00B207BB" w:rsidP="002A69CA">
                                        <w:pPr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2A69CA" w:rsidRPr="00B207BB" w:rsidP="002A69CA">
                                        <w:pPr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E0D0D" w:rsidP="00837890">
                                  <w:pPr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B36" w:rsidP="000F648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99CC"/>
                                <w:sz w:val="18"/>
                                <w:szCs w:val="18"/>
                              </w:rPr>
                            </w:pPr>
                          </w:p>
                          <w:p w:rsidR="00A837AC" w:rsidP="000F648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A837AC">
                              <w:rPr>
                                <w:b/>
                              </w:rPr>
                              <w:t xml:space="preserve">Commercial floorspace (sq m) completed </w:t>
                            </w:r>
                            <w:r w:rsidRPr="00A837AC" w:rsidR="00FE47DD">
                              <w:rPr>
                                <w:b/>
                              </w:rPr>
                              <w:t xml:space="preserve">between 1 April – 30 </w:t>
                            </w:r>
                            <w:r>
                              <w:rPr>
                                <w:b/>
                              </w:rPr>
                              <w:t xml:space="preserve">March </w:t>
                            </w:r>
                            <w:r w:rsidRPr="00A837AC" w:rsidR="00FE47DD">
                              <w:rPr>
                                <w:b/>
                              </w:rPr>
                              <w:t>201</w:t>
                            </w:r>
                            <w:r w:rsidRPr="00A837AC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A837AC" w:rsidR="0083789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37890" w:rsidRPr="00A837AC" w:rsidP="000F648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A837AC">
                              <w:rPr>
                                <w:b/>
                              </w:rPr>
                              <w:t xml:space="preserve"> </w:t>
                            </w:r>
                            <w:r w:rsidRPr="00A837AC" w:rsidR="00A23E43">
                              <w:rPr>
                                <w:b/>
                              </w:rPr>
                              <w:t xml:space="preserve">9,635 sq m </w:t>
                            </w:r>
                            <w:r w:rsidRPr="00A837AC" w:rsidR="00517396">
                              <w:rPr>
                                <w:b/>
                              </w:rPr>
                              <w:t xml:space="preserve">against a target of </w:t>
                            </w:r>
                            <w:r w:rsidRPr="00A837AC" w:rsidR="00A23E43">
                              <w:rPr>
                                <w:b/>
                              </w:rPr>
                              <w:t>2,640 sq m.</w:t>
                            </w:r>
                          </w:p>
                          <w:p w:rsidR="00484C9D" w:rsidP="000F648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99C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7" style="width:527.25pt;height:351pt;margin-top:61.35pt;margin-left:-17.3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arcsize="598f" fillcolor="window" strokecolor="#5b9bd5" strokeweight="1pt">
                <v:stroke joinstyle="miter"/>
                <v:textbox>
                  <w:txbxContent>
                    <w:p w:rsidR="00FB12D8" w:rsidP="000F648E">
                      <w:pPr>
                        <w:spacing w:after="0" w:line="240" w:lineRule="auto"/>
                        <w:jc w:val="both"/>
                        <w:rPr>
                          <w:b/>
                          <w:color w:val="0099CC"/>
                        </w:rPr>
                      </w:pPr>
                      <w:r>
                        <w:rPr>
                          <w:b/>
                          <w:color w:val="0099CC"/>
                        </w:rPr>
                        <w:t xml:space="preserve">Fig. 1 </w:t>
                      </w:r>
                      <w:r w:rsidR="00ED5C43">
                        <w:rPr>
                          <w:b/>
                          <w:color w:val="0099CC"/>
                        </w:rPr>
                        <w:t>–</w:t>
                      </w:r>
                      <w:r>
                        <w:rPr>
                          <w:b/>
                          <w:color w:val="0099CC"/>
                        </w:rPr>
                        <w:t xml:space="preserve"> </w:t>
                      </w:r>
                      <w:r w:rsidR="00ED5C43">
                        <w:rPr>
                          <w:b/>
                          <w:color w:val="0099CC"/>
                        </w:rPr>
                        <w:t xml:space="preserve">Employment </w:t>
                      </w:r>
                      <w:r>
                        <w:rPr>
                          <w:b/>
                          <w:color w:val="0099CC"/>
                        </w:rPr>
                        <w:t xml:space="preserve">delivery progress up to </w:t>
                      </w:r>
                      <w:r w:rsidR="00A837AC">
                        <w:rPr>
                          <w:b/>
                          <w:color w:val="0099CC"/>
                        </w:rPr>
                        <w:t xml:space="preserve">March </w:t>
                      </w:r>
                      <w:r>
                        <w:rPr>
                          <w:b/>
                          <w:color w:val="0099CC"/>
                        </w:rPr>
                        <w:t>201</w:t>
                      </w:r>
                      <w:r w:rsidR="00ED5C43">
                        <w:rPr>
                          <w:b/>
                          <w:color w:val="0099CC"/>
                        </w:rPr>
                        <w:t>8</w:t>
                      </w:r>
                    </w:p>
                    <w:p w:rsidR="0070596B" w:rsidP="000F648E">
                      <w:pPr>
                        <w:spacing w:after="0" w:line="240" w:lineRule="auto"/>
                        <w:jc w:val="both"/>
                        <w:rPr>
                          <w:b/>
                          <w:color w:val="0099CC"/>
                        </w:rPr>
                      </w:pPr>
                    </w:p>
                    <w:tbl>
                      <w:tblPr>
                        <w:tblStyle w:val="TableGrid"/>
                        <w:tblW w:w="10201" w:type="dxa"/>
                        <w:tblLayout w:type="fixed"/>
                        <w:tblLook w:val="04A0"/>
                      </w:tblPr>
                      <w:tblGrid>
                        <w:gridCol w:w="4248"/>
                        <w:gridCol w:w="425"/>
                        <w:gridCol w:w="5528"/>
                      </w:tblGrid>
                      <w:tr w:rsidTr="005137F7">
                        <w:tblPrEx>
                          <w:tblW w:w="10201" w:type="dxa"/>
                          <w:tblLayout w:type="fixed"/>
                          <w:tblLook w:val="04A0"/>
                        </w:tblPrEx>
                        <w:trPr>
                          <w:trHeight w:val="5528"/>
                        </w:trPr>
                        <w:tc>
                          <w:tcPr>
                            <w:tcW w:w="4248" w:type="dxa"/>
                          </w:tcPr>
                          <w:p w:rsidR="005E0D0D" w:rsidP="000F648E">
                            <w:pPr>
                              <w:jc w:val="both"/>
                              <w:rPr>
                                <w:b/>
                                <w:color w:val="0099CC"/>
                              </w:rPr>
                            </w:pPr>
                            <w:drawing>
                              <wp:inline distT="0" distB="0" distL="0" distR="0">
                                <wp:extent cx="3095625" cy="3343275"/>
                                <wp:effectExtent l="0" t="0" r="9525" b="9525"/>
                                <wp:docPr id="33" name="Chart 33"/>
                                <wp:cNvGraphicFramePr/>
                                <a:graphic xmlns:a="http://schemas.openxmlformats.org/drawingml/2006/main">
                                  <a:graphicData uri="http://schemas.openxmlformats.org/drawingml/2006/chart">
                                    <c:chart xmlns:c="http://schemas.openxmlformats.org/drawingml/2006/chart" xmlns:r="http://schemas.openxmlformats.org/officeDocument/2006/relationships" r:id="rId6"/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425" w:type="dxa"/>
                          </w:tcPr>
                          <w:p w:rsidR="005E0D0D" w:rsidP="000F648E">
                            <w:pPr>
                              <w:jc w:val="both"/>
                              <w:rPr>
                                <w:b/>
                                <w:color w:val="0099CC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:rsidR="00F6649D" w:rsidP="005E0D0D"/>
                          <w:p w:rsidR="005E0D0D" w:rsidRPr="00466CF6" w:rsidP="005E0D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6CF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5E0D0D" w:rsidRPr="00466CF6" w:rsidP="005E0D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6CF6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tbl>
                            <w:tblPr>
                              <w:tblStyle w:val="TableGrid"/>
                              <w:tblW w:w="5382" w:type="dxa"/>
                              <w:tblLayout w:type="fixed"/>
                              <w:tblLook w:val="04A0"/>
                            </w:tblPr>
                            <w:tblGrid>
                              <w:gridCol w:w="332"/>
                              <w:gridCol w:w="5050"/>
                            </w:tblGrid>
                            <w:tr w:rsidTr="005137F7">
                              <w:tblPrEx>
                                <w:tblW w:w="5382" w:type="dxa"/>
                                <w:tblLayout w:type="fixed"/>
                                <w:tblLook w:val="04A0"/>
                              </w:tblPrEx>
                              <w:trPr>
                                <w:trHeight w:val="554"/>
                              </w:trPr>
                              <w:tc>
                                <w:tcPr>
                                  <w:tcW w:w="332" w:type="dxa"/>
                                  <w:shd w:val="clear" w:color="auto" w:fill="00B050"/>
                                </w:tcPr>
                                <w:p w:rsidR="002A69CA" w:rsidP="002A69CA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2A69CA" w:rsidRPr="00B207BB" w:rsidP="002A69CA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207BB">
                                    <w:rPr>
                                      <w:sz w:val="18"/>
                                      <w:szCs w:val="18"/>
                                    </w:rPr>
                                    <w:t>No. of sites where 'delivery is on target'. Either on site or planning is progressing as anticipated.</w:t>
                                  </w:r>
                                </w:p>
                                <w:p w:rsidR="002A69CA" w:rsidRPr="00B207BB" w:rsidP="002A69CA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Tr="005137F7">
                              <w:tblPrEx>
                                <w:tblW w:w="5382" w:type="dxa"/>
                                <w:tblLayout w:type="fixed"/>
                                <w:tblLook w:val="04A0"/>
                              </w:tblPrEx>
                              <w:trPr>
                                <w:trHeight w:val="592"/>
                              </w:trPr>
                              <w:tc>
                                <w:tcPr>
                                  <w:tcW w:w="332" w:type="dxa"/>
                                  <w:shd w:val="clear" w:color="auto" w:fill="FFD965" w:themeFill="accent4" w:themeFillTint="99"/>
                                </w:tcPr>
                                <w:p w:rsidR="002A69CA" w:rsidP="002A69CA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2A69CA" w:rsidRPr="00B207BB" w:rsidP="002A69CA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207BB">
                                    <w:rPr>
                                      <w:sz w:val="18"/>
                                      <w:szCs w:val="18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of </w:t>
                                  </w:r>
                                  <w:r w:rsidRPr="00B207BB">
                                    <w:rPr>
                                      <w:sz w:val="18"/>
                                      <w:szCs w:val="18"/>
                                    </w:rPr>
                                    <w:t xml:space="preserve">sites where 'issues have been identified or progress slower than expected' but mitigation is in place. </w:t>
                                  </w:r>
                                </w:p>
                              </w:tc>
                            </w:tr>
                            <w:tr w:rsidTr="005137F7">
                              <w:tblPrEx>
                                <w:tblW w:w="5382" w:type="dxa"/>
                                <w:tblLayout w:type="fixed"/>
                                <w:tblLook w:val="04A0"/>
                              </w:tblPrEx>
                              <w:trPr>
                                <w:trHeight w:val="699"/>
                              </w:trPr>
                              <w:tc>
                                <w:tcPr>
                                  <w:tcW w:w="332" w:type="dxa"/>
                                  <w:shd w:val="clear" w:color="auto" w:fill="FF0000"/>
                                </w:tcPr>
                                <w:p w:rsidR="002A69CA" w:rsidP="002A69CA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  <w:p w:rsidR="002A69CA" w:rsidP="002A69CA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  <w:p w:rsidR="002A69CA" w:rsidP="002A69CA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2A69CA" w:rsidRPr="00B207BB" w:rsidP="002A69CA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207BB">
                                    <w:rPr>
                                      <w:sz w:val="18"/>
                                      <w:szCs w:val="18"/>
                                    </w:rPr>
                                    <w:t xml:space="preserve">No.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of </w:t>
                                  </w:r>
                                  <w:r w:rsidRPr="00B207BB">
                                    <w:rPr>
                                      <w:sz w:val="18"/>
                                      <w:szCs w:val="18"/>
                                    </w:rPr>
                                    <w:t>sites where 'issues have been raised or progress slower than expected' but no mitigation is in place.</w:t>
                                  </w:r>
                                </w:p>
                              </w:tc>
                            </w:tr>
                            <w:tr w:rsidTr="005137F7">
                              <w:tblPrEx>
                                <w:tblW w:w="5382" w:type="dxa"/>
                                <w:tblLayout w:type="fixed"/>
                                <w:tblLook w:val="04A0"/>
                              </w:tblPrEx>
                              <w:trPr>
                                <w:trHeight w:val="455"/>
                              </w:trPr>
                              <w:tc>
                                <w:tcPr>
                                  <w:tcW w:w="332" w:type="dxa"/>
                                  <w:shd w:val="clear" w:color="auto" w:fill="D0CECE" w:themeFill="background2" w:themeFillShade="E6"/>
                                </w:tcPr>
                                <w:p w:rsidR="002A69CA" w:rsidP="002A69CA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2A69CA" w:rsidRPr="00B207BB" w:rsidP="002A69CA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207BB">
                                    <w:rPr>
                                      <w:sz w:val="18"/>
                                      <w:szCs w:val="18"/>
                                    </w:rPr>
                                    <w:t xml:space="preserve">Total number of sites completed to date </w:t>
                                  </w:r>
                                </w:p>
                                <w:p w:rsidR="002A69CA" w:rsidRPr="00B207BB" w:rsidP="002A69CA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A69CA" w:rsidRPr="00B207BB" w:rsidP="002A69CA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0D0D" w:rsidP="00837890">
                            <w:pPr>
                              <w:rPr>
                                <w:b/>
                                <w:color w:val="0099CC"/>
                              </w:rPr>
                            </w:pPr>
                          </w:p>
                        </w:tc>
                      </w:tr>
                    </w:tbl>
                    <w:p w:rsidR="00703B36" w:rsidP="000F648E">
                      <w:pPr>
                        <w:spacing w:after="0" w:line="240" w:lineRule="auto"/>
                        <w:jc w:val="both"/>
                        <w:rPr>
                          <w:b/>
                          <w:color w:val="0099CC"/>
                          <w:sz w:val="18"/>
                          <w:szCs w:val="18"/>
                        </w:rPr>
                      </w:pPr>
                    </w:p>
                    <w:p w:rsidR="00A837AC" w:rsidP="000F648E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A837AC">
                        <w:rPr>
                          <w:b/>
                        </w:rPr>
                        <w:t xml:space="preserve">Commercial floorspace (sq m) completed </w:t>
                      </w:r>
                      <w:r w:rsidRPr="00A837AC" w:rsidR="00FE47DD">
                        <w:rPr>
                          <w:b/>
                        </w:rPr>
                        <w:t xml:space="preserve">between 1 April – 30 </w:t>
                      </w:r>
                      <w:r>
                        <w:rPr>
                          <w:b/>
                        </w:rPr>
                        <w:t xml:space="preserve">March </w:t>
                      </w:r>
                      <w:r w:rsidRPr="00A837AC" w:rsidR="00FE47DD">
                        <w:rPr>
                          <w:b/>
                        </w:rPr>
                        <w:t>201</w:t>
                      </w:r>
                      <w:r w:rsidRPr="00A837AC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A837AC" w:rsidR="00837890">
                        <w:rPr>
                          <w:b/>
                        </w:rPr>
                        <w:t xml:space="preserve"> </w:t>
                      </w:r>
                    </w:p>
                    <w:p w:rsidR="00837890" w:rsidRPr="00A837AC" w:rsidP="000F648E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A837AC">
                        <w:rPr>
                          <w:b/>
                        </w:rPr>
                        <w:t xml:space="preserve"> </w:t>
                      </w:r>
                      <w:r w:rsidRPr="00A837AC" w:rsidR="00A23E43">
                        <w:rPr>
                          <w:b/>
                        </w:rPr>
                        <w:t xml:space="preserve">9,635 sq m </w:t>
                      </w:r>
                      <w:r w:rsidRPr="00A837AC" w:rsidR="00517396">
                        <w:rPr>
                          <w:b/>
                        </w:rPr>
                        <w:t xml:space="preserve">against a target of </w:t>
                      </w:r>
                      <w:r w:rsidRPr="00A837AC" w:rsidR="00A23E43">
                        <w:rPr>
                          <w:b/>
                        </w:rPr>
                        <w:t>2,640 sq m.</w:t>
                      </w:r>
                    </w:p>
                    <w:p w:rsidR="00484C9D" w:rsidP="000F648E">
                      <w:pPr>
                        <w:spacing w:after="0" w:line="240" w:lineRule="auto"/>
                        <w:jc w:val="both"/>
                        <w:rPr>
                          <w:b/>
                          <w:color w:val="0099CC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7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209550</wp:posOffset>
                </wp:positionV>
                <wp:extent cx="14794230" cy="10309225"/>
                <wp:effectExtent l="19050" t="19050" r="26670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94230" cy="10309225"/>
                        </a:xfrm>
                        <a:prstGeom prst="roundRect">
                          <a:avLst>
                            <a:gd name="adj" fmla="val 103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width:1164.9pt;height:811.75pt;margin-top:16.5pt;margin-left:-41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680f" fillcolor="#deeaf6" strokecolor="#1f4d78" strokeweight="2.5pt">
                <v:stroke joinstyle="miter"/>
              </v:roundrect>
            </w:pict>
          </mc:Fallback>
        </mc:AlternateContent>
      </w:r>
      <w:r w:rsidR="00217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293370</wp:posOffset>
                </wp:positionV>
                <wp:extent cx="14135100" cy="352425"/>
                <wp:effectExtent l="0" t="0" r="19050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35100" cy="352425"/>
                        </a:xfrm>
                        <a:prstGeom prst="roundRect">
                          <a:avLst>
                            <a:gd name="adj" fmla="val 1702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1D26E0" w:rsidRPr="00B30611" w:rsidP="002172F7">
                            <w:pPr>
                              <w:spacing w:after="12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 </w:t>
                            </w:r>
                            <w:r w:rsidR="00A71359">
                              <w:rPr>
                                <w:b/>
                                <w:color w:val="0099CC"/>
                                <w:sz w:val="28"/>
                              </w:rPr>
                              <w:t>Ci</w:t>
                            </w:r>
                            <w:r w:rsidR="006F3F04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ty Deal </w:t>
                            </w:r>
                            <w:r w:rsidR="00051D61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employment </w:t>
                            </w:r>
                            <w:r w:rsidR="007C155A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site </w:t>
                            </w:r>
                            <w:r w:rsidR="00051D61">
                              <w:rPr>
                                <w:b/>
                                <w:color w:val="0099CC"/>
                                <w:sz w:val="28"/>
                              </w:rPr>
                              <w:t>p</w:t>
                            </w:r>
                            <w:r w:rsidR="006F3F04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erformance </w:t>
                            </w:r>
                            <w:r w:rsidR="007C155A">
                              <w:rPr>
                                <w:b/>
                                <w:color w:val="0099CC"/>
                                <w:sz w:val="28"/>
                              </w:rPr>
                              <w:t>summary</w:t>
                            </w:r>
                            <w:r w:rsidR="003730B7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: </w:t>
                            </w:r>
                            <w:r w:rsidR="00BB381C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April </w:t>
                            </w:r>
                            <w:r w:rsidR="00B207BB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2017 </w:t>
                            </w:r>
                            <w:r w:rsidR="003730B7">
                              <w:rPr>
                                <w:b/>
                                <w:color w:val="0099CC"/>
                                <w:sz w:val="28"/>
                              </w:rPr>
                              <w:t>–</w:t>
                            </w:r>
                            <w:r w:rsidR="00BB381C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 </w:t>
                            </w:r>
                            <w:r w:rsidR="003730B7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March </w:t>
                            </w:r>
                            <w:r w:rsidR="006F3F04">
                              <w:rPr>
                                <w:b/>
                                <w:color w:val="0099CC"/>
                                <w:sz w:val="28"/>
                              </w:rPr>
                              <w:t>201</w:t>
                            </w:r>
                            <w:r w:rsidR="00ED5C43">
                              <w:rPr>
                                <w:b/>
                                <w:color w:val="0099CC"/>
                                <w:sz w:val="28"/>
                              </w:rPr>
                              <w:t>8</w:t>
                            </w:r>
                            <w:r w:rsidR="006F3F04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 </w:t>
                            </w:r>
                            <w:r w:rsidR="00B30611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B30611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                    </w:t>
                            </w:r>
                            <w:r w:rsidR="00051D61">
                              <w:rPr>
                                <w:color w:val="0099CC"/>
                                <w:sz w:val="28"/>
                              </w:rPr>
                              <w:t xml:space="preserve"> </w:t>
                            </w:r>
                            <w:r w:rsidRPr="00B30611" w:rsidR="00BB381C">
                              <w:rPr>
                                <w:b/>
                                <w:sz w:val="32"/>
                                <w:szCs w:val="32"/>
                              </w:rPr>
                              <w:t>Appendix 2</w:t>
                            </w:r>
                          </w:p>
                          <w:p w:rsidR="001D26E0" w:rsidP="003D0CAD"/>
                          <w:p w:rsidR="001D26E0" w:rsidP="003D0CAD"/>
                          <w:p w:rsidR="001D26E0" w:rsidP="003D0CAD"/>
                          <w:p w:rsidR="001D26E0" w:rsidRPr="00151796" w:rsidP="003D0C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29" style="width:1113pt;height:27.75pt;margin-top:23.1pt;margin-left:-17.3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arcsize="1117f" fillcolor="window" strokecolor="#5b9bd5" strokeweight="1pt">
                <v:stroke joinstyle="miter"/>
                <v:textbox>
                  <w:txbxContent>
                    <w:p w:rsidR="001D26E0" w:rsidRPr="00B30611" w:rsidP="002172F7">
                      <w:pPr>
                        <w:spacing w:after="12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99CC"/>
                          <w:sz w:val="28"/>
                        </w:rPr>
                        <w:t xml:space="preserve"> </w:t>
                      </w:r>
                      <w:r w:rsidR="00A71359">
                        <w:rPr>
                          <w:b/>
                          <w:color w:val="0099CC"/>
                          <w:sz w:val="28"/>
                        </w:rPr>
                        <w:t>Ci</w:t>
                      </w:r>
                      <w:r w:rsidR="006F3F04">
                        <w:rPr>
                          <w:b/>
                          <w:color w:val="0099CC"/>
                          <w:sz w:val="28"/>
                        </w:rPr>
                        <w:t xml:space="preserve">ty Deal </w:t>
                      </w:r>
                      <w:r w:rsidR="00051D61">
                        <w:rPr>
                          <w:b/>
                          <w:color w:val="0099CC"/>
                          <w:sz w:val="28"/>
                        </w:rPr>
                        <w:t xml:space="preserve">employment </w:t>
                      </w:r>
                      <w:r w:rsidR="007C155A">
                        <w:rPr>
                          <w:b/>
                          <w:color w:val="0099CC"/>
                          <w:sz w:val="28"/>
                        </w:rPr>
                        <w:t xml:space="preserve">site </w:t>
                      </w:r>
                      <w:r w:rsidR="00051D61">
                        <w:rPr>
                          <w:b/>
                          <w:color w:val="0099CC"/>
                          <w:sz w:val="28"/>
                        </w:rPr>
                        <w:t>p</w:t>
                      </w:r>
                      <w:r w:rsidR="006F3F04">
                        <w:rPr>
                          <w:b/>
                          <w:color w:val="0099CC"/>
                          <w:sz w:val="28"/>
                        </w:rPr>
                        <w:t xml:space="preserve">erformance </w:t>
                      </w:r>
                      <w:r w:rsidR="007C155A">
                        <w:rPr>
                          <w:b/>
                          <w:color w:val="0099CC"/>
                          <w:sz w:val="28"/>
                        </w:rPr>
                        <w:t>summary</w:t>
                      </w:r>
                      <w:r w:rsidR="003730B7">
                        <w:rPr>
                          <w:b/>
                          <w:color w:val="0099CC"/>
                          <w:sz w:val="28"/>
                        </w:rPr>
                        <w:t xml:space="preserve">: </w:t>
                      </w:r>
                      <w:r w:rsidR="00BB381C">
                        <w:rPr>
                          <w:b/>
                          <w:color w:val="0099CC"/>
                          <w:sz w:val="28"/>
                        </w:rPr>
                        <w:t xml:space="preserve">April </w:t>
                      </w:r>
                      <w:r w:rsidR="00B207BB">
                        <w:rPr>
                          <w:b/>
                          <w:color w:val="0099CC"/>
                          <w:sz w:val="28"/>
                        </w:rPr>
                        <w:t xml:space="preserve">2017 </w:t>
                      </w:r>
                      <w:r w:rsidR="003730B7">
                        <w:rPr>
                          <w:b/>
                          <w:color w:val="0099CC"/>
                          <w:sz w:val="28"/>
                        </w:rPr>
                        <w:t>–</w:t>
                      </w:r>
                      <w:r w:rsidR="00BB381C">
                        <w:rPr>
                          <w:b/>
                          <w:color w:val="0099CC"/>
                          <w:sz w:val="28"/>
                        </w:rPr>
                        <w:t xml:space="preserve"> </w:t>
                      </w:r>
                      <w:r w:rsidR="003730B7">
                        <w:rPr>
                          <w:b/>
                          <w:color w:val="0099CC"/>
                          <w:sz w:val="28"/>
                        </w:rPr>
                        <w:t xml:space="preserve">March </w:t>
                      </w:r>
                      <w:r w:rsidR="006F3F04">
                        <w:rPr>
                          <w:b/>
                          <w:color w:val="0099CC"/>
                          <w:sz w:val="28"/>
                        </w:rPr>
                        <w:t>201</w:t>
                      </w:r>
                      <w:r w:rsidR="00ED5C43">
                        <w:rPr>
                          <w:b/>
                          <w:color w:val="0099CC"/>
                          <w:sz w:val="28"/>
                        </w:rPr>
                        <w:t>8</w:t>
                      </w:r>
                      <w:r w:rsidR="006F3F04">
                        <w:rPr>
                          <w:b/>
                          <w:color w:val="0099CC"/>
                          <w:sz w:val="28"/>
                        </w:rPr>
                        <w:t xml:space="preserve"> </w:t>
                      </w:r>
                      <w:r w:rsidR="00B30611">
                        <w:rPr>
                          <w:b/>
                          <w:color w:val="0099CC"/>
                          <w:sz w:val="28"/>
                        </w:rPr>
                        <w:t xml:space="preserve">                                                         </w:t>
                      </w:r>
                      <w:r>
                        <w:rPr>
                          <w:b/>
                          <w:color w:val="0099CC"/>
                          <w:sz w:val="28"/>
                        </w:rPr>
                        <w:t xml:space="preserve">                                                                                                  </w:t>
                      </w:r>
                      <w:r w:rsidR="00B30611">
                        <w:rPr>
                          <w:b/>
                          <w:color w:val="0099CC"/>
                          <w:sz w:val="28"/>
                        </w:rPr>
                        <w:t xml:space="preserve">                    </w:t>
                      </w:r>
                      <w:r w:rsidR="00051D61">
                        <w:rPr>
                          <w:color w:val="0099CC"/>
                          <w:sz w:val="28"/>
                        </w:rPr>
                        <w:t xml:space="preserve"> </w:t>
                      </w:r>
                      <w:r w:rsidRPr="00B30611" w:rsidR="00BB381C">
                        <w:rPr>
                          <w:b/>
                          <w:sz w:val="32"/>
                          <w:szCs w:val="32"/>
                        </w:rPr>
                        <w:t>Appendix 2</w:t>
                      </w:r>
                    </w:p>
                    <w:p w:rsidR="001D26E0" w:rsidP="003D0CAD"/>
                    <w:p w:rsidR="001D26E0" w:rsidP="003D0CAD"/>
                    <w:p w:rsidR="001D26E0" w:rsidP="003D0CAD"/>
                    <w:p w:rsidR="001D26E0" w:rsidRPr="00151796" w:rsidP="003D0CAD"/>
                  </w:txbxContent>
                </v:textbox>
              </v:roundrect>
            </w:pict>
          </mc:Fallback>
        </mc:AlternateContent>
      </w:r>
    </w:p>
    <w:sectPr w:rsidSect="00001044">
      <w:headerReference w:type="default" r:id="rId7"/>
      <w:pgSz w:w="23814" w:h="16839" w:orient="landscape" w:code="8"/>
      <w:pgMar w:top="0" w:right="1021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7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5229225</wp:posOffset>
          </wp:positionH>
          <wp:positionV relativeFrom="paragraph">
            <wp:posOffset>-335280</wp:posOffset>
          </wp:positionV>
          <wp:extent cx="3389793" cy="611000"/>
          <wp:effectExtent l="0" t="0" r="1270" b="0"/>
          <wp:wrapTight wrapText="bothSides">
            <wp:wrapPolygon>
              <wp:start x="0" y="0"/>
              <wp:lineTo x="0" y="20881"/>
              <wp:lineTo x="21487" y="20881"/>
              <wp:lineTo x="21487" y="0"/>
              <wp:lineTo x="0" y="0"/>
            </wp:wrapPolygon>
          </wp:wrapTight>
          <wp:docPr id="2" name="Picture 2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8028113" name="Picture 1" descr="\\psf\Home\Desktop\CD logo.jpg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99" b="14773"/>
                  <a:stretch>
                    <a:fillRect/>
                  </a:stretch>
                </pic:blipFill>
                <pic:spPr bwMode="auto">
                  <a:xfrm>
                    <a:off x="0" y="0"/>
                    <a:ext cx="3389793" cy="61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386619"/>
    <w:multiLevelType w:val="hybridMultilevel"/>
    <w:tmpl w:val="96B6336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82A"/>
    <w:multiLevelType w:val="hybridMultilevel"/>
    <w:tmpl w:val="59B257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A1C4B"/>
    <w:multiLevelType w:val="hybridMultilevel"/>
    <w:tmpl w:val="F7BECDF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1F"/>
    <w:multiLevelType w:val="hybridMultilevel"/>
    <w:tmpl w:val="F5CEAAC2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651E"/>
    <w:multiLevelType w:val="hybridMultilevel"/>
    <w:tmpl w:val="0DE8E01A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7538"/>
    <w:multiLevelType w:val="hybridMultilevel"/>
    <w:tmpl w:val="96B6336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E7748"/>
    <w:multiLevelType w:val="hybridMultilevel"/>
    <w:tmpl w:val="226CDE76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74DE2"/>
    <w:multiLevelType w:val="hybridMultilevel"/>
    <w:tmpl w:val="4DBCBF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C579C"/>
    <w:multiLevelType w:val="hybridMultilevel"/>
    <w:tmpl w:val="A3E865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7741D"/>
    <w:multiLevelType w:val="hybridMultilevel"/>
    <w:tmpl w:val="96B6336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C55B5"/>
    <w:multiLevelType w:val="hybridMultilevel"/>
    <w:tmpl w:val="A1327EE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9F62F2"/>
    <w:multiLevelType w:val="hybridMultilevel"/>
    <w:tmpl w:val="57C80F52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DA8634D"/>
    <w:multiLevelType w:val="hybridMultilevel"/>
    <w:tmpl w:val="96B6336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5B"/>
    <w:pPr>
      <w:ind w:left="720"/>
      <w:contextualSpacing/>
    </w:pPr>
  </w:style>
  <w:style w:type="table" w:styleId="TableGrid">
    <w:name w:val="Table Grid"/>
    <w:basedOn w:val="TableNormal"/>
    <w:rsid w:val="005C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BC"/>
    <w:rPr>
      <w:rFonts w:ascii="Segoe UI" w:hAnsi="Segoe UI" w:cs="Segoe UI"/>
      <w:sz w:val="18"/>
      <w:szCs w:val="18"/>
    </w:rPr>
  </w:style>
  <w:style w:type="character" w:customStyle="1" w:styleId="Style3">
    <w:name w:val="Style3"/>
    <w:basedOn w:val="DefaultParagraphFont"/>
    <w:uiPriority w:val="1"/>
    <w:rsid w:val="00C37A07"/>
    <w:rPr>
      <w:rFonts w:ascii="Arial" w:hAnsi="Arial"/>
      <w:sz w:val="20"/>
    </w:rPr>
  </w:style>
  <w:style w:type="paragraph" w:styleId="NoSpacing">
    <w:name w:val="No Spacing"/>
    <w:uiPriority w:val="1"/>
    <w:qFormat/>
    <w:rsid w:val="00C37A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BB"/>
  </w:style>
  <w:style w:type="paragraph" w:styleId="Footer">
    <w:name w:val="footer"/>
    <w:basedOn w:val="Normal"/>
    <w:link w:val="FooterChar"/>
    <w:uiPriority w:val="99"/>
    <w:unhideWhenUsed/>
    <w:rsid w:val="00B2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hart" Target="charts/chart1.xml" /><Relationship Id="rId6" Type="http://schemas.openxmlformats.org/officeDocument/2006/relationships/chart" Target="charts/chart2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charts/_rels/chart1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Relationship Id="rId2" Type="http://schemas.microsoft.com/office/2011/relationships/chartColorStyle" Target="chart/colors1.xml" /><Relationship Id="rId3" Type="http://schemas.microsoft.com/office/2011/relationships/chartStyle" Target="chart/style1.xml" /></Relationships>
</file>

<file path=word/charts/_rels/chart2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.xlsx" /><Relationship Id="rId2" Type="http://schemas.microsoft.com/office/2011/relationships/chartColorStyle" Target="chart/colors2.xml" /><Relationship Id="rId3" Type="http://schemas.microsoft.com/office/2011/relationships/chartStyle" Target="chart/style2.xml" /></Relationships>
</file>

<file path=word/charts/chart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chart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31876600040379566"/>
          <c:y val="0.13246771503989352"/>
          <c:w val="0.76393878457500508"/>
          <c:h val="0.707350726458338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3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="http://schemas.openxmlformats.org/drawingml/2006/chart"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="http://schemas.openxmlformats.org/drawingml/2006/chart"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="http://schemas.openxmlformats.org/drawingml/2006/chart"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39163604549431325"/>
                  <c:y val="0.081579542140565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="http://schemas.openxmlformats.org/drawingml/2006/chart"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="http://schemas.openxmlformats.org/drawingml/2006/chart"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Green</c:v>
                </c:pt>
                <c:pt idx="1">
                  <c:v>Amber</c:v>
                </c:pt>
                <c:pt idx="2">
                  <c:v>Red</c:v>
                </c:pt>
                <c:pt idx="3">
                  <c:v>Completed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0011141769671954"/>
          <c:w val="0.86143315162527756"/>
          <c:h val="0.07329788904592053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31876600040379566"/>
          <c:y val="0.13246771503989352"/>
          <c:w val="0.76393878457500508"/>
          <c:h val="0.707350726458338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3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="http://schemas.openxmlformats.org/drawingml/2006/chart"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="http://schemas.openxmlformats.org/drawingml/2006/chart"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="http://schemas.openxmlformats.org/drawingml/2006/chart"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39163604549431325"/>
                  <c:y val="0.081579542140565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="http://schemas.openxmlformats.org/drawingml/2006/chart"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="http://schemas.openxmlformats.org/drawingml/2006/chart"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Green</c:v>
                </c:pt>
                <c:pt idx="1">
                  <c:v>Amber</c:v>
                </c:pt>
                <c:pt idx="2">
                  <c:v>Red</c:v>
                </c:pt>
                <c:pt idx="3">
                  <c:v>Completed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0011141769671954"/>
          <c:w val="0.86143315162527756"/>
          <c:h val="0.07329788904592053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5B9BD5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1466-4D82-415F-84AF-EC8CA122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Parry, Sarah</cp:lastModifiedBy>
  <cp:revision>2</cp:revision>
  <cp:lastPrinted>2018-07-11T13:12:00Z</cp:lastPrinted>
  <dcterms:created xsi:type="dcterms:W3CDTF">2018-07-25T12:47:00Z</dcterms:created>
  <dcterms:modified xsi:type="dcterms:W3CDTF">2018-07-25T12:47:00Z</dcterms:modified>
</cp:coreProperties>
</file>